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E7" w:rsidRDefault="00230CE7" w:rsidP="00BA4CBE">
      <w:pPr>
        <w:jc w:val="center"/>
        <w:rPr>
          <w:b/>
        </w:rPr>
      </w:pPr>
      <w:bookmarkStart w:id="0" w:name="_GoBack"/>
      <w:r w:rsidRPr="00BA4CBE">
        <w:rPr>
          <w:b/>
        </w:rPr>
        <w:t xml:space="preserve">Tổng hợp các hành </w:t>
      </w:r>
      <w:proofErr w:type="gramStart"/>
      <w:r w:rsidRPr="00BA4CBE">
        <w:rPr>
          <w:b/>
        </w:rPr>
        <w:t>vi</w:t>
      </w:r>
      <w:proofErr w:type="gramEnd"/>
      <w:r w:rsidRPr="00BA4CBE">
        <w:rPr>
          <w:b/>
        </w:rPr>
        <w:t xml:space="preserve"> vi phạm về cạnh tranh và mức phạt tiền tương ứng</w:t>
      </w:r>
    </w:p>
    <w:bookmarkEnd w:id="0"/>
    <w:p w:rsidR="00BA4CBE" w:rsidRPr="00BA4CBE" w:rsidRDefault="00BA4CBE" w:rsidP="00962BF5">
      <w:pPr>
        <w:rPr>
          <w:b/>
        </w:rPr>
      </w:pPr>
    </w:p>
    <w:tbl>
      <w:tblPr>
        <w:tblStyle w:val="TableGrid"/>
        <w:tblW w:w="0" w:type="auto"/>
        <w:tblLook w:val="04A0" w:firstRow="1" w:lastRow="0" w:firstColumn="1" w:lastColumn="0" w:noHBand="0" w:noVBand="1"/>
      </w:tblPr>
      <w:tblGrid>
        <w:gridCol w:w="538"/>
        <w:gridCol w:w="1205"/>
        <w:gridCol w:w="1377"/>
        <w:gridCol w:w="4424"/>
        <w:gridCol w:w="1806"/>
      </w:tblGrid>
      <w:tr w:rsidR="00962BF5" w:rsidRPr="00BA4CBE" w:rsidTr="00962BF5">
        <w:tc>
          <w:tcPr>
            <w:tcW w:w="538" w:type="dxa"/>
            <w:vAlign w:val="center"/>
          </w:tcPr>
          <w:p w:rsidR="00962BF5" w:rsidRPr="00BA4CBE" w:rsidRDefault="00962BF5" w:rsidP="00897A43">
            <w:pPr>
              <w:spacing w:before="100" w:after="100"/>
              <w:jc w:val="center"/>
              <w:rPr>
                <w:b/>
              </w:rPr>
            </w:pPr>
            <w:r w:rsidRPr="00BA4CBE">
              <w:rPr>
                <w:b/>
              </w:rPr>
              <w:t>STT</w:t>
            </w:r>
          </w:p>
        </w:tc>
        <w:tc>
          <w:tcPr>
            <w:tcW w:w="1205" w:type="dxa"/>
          </w:tcPr>
          <w:p w:rsidR="00962BF5" w:rsidRPr="00BA4CBE" w:rsidRDefault="00962BF5" w:rsidP="00897A43">
            <w:pPr>
              <w:spacing w:before="100" w:after="100"/>
              <w:jc w:val="center"/>
              <w:rPr>
                <w:b/>
              </w:rPr>
            </w:pPr>
          </w:p>
        </w:tc>
        <w:tc>
          <w:tcPr>
            <w:tcW w:w="1377" w:type="dxa"/>
            <w:vAlign w:val="center"/>
          </w:tcPr>
          <w:p w:rsidR="00962BF5" w:rsidRPr="00BA4CBE" w:rsidRDefault="00962BF5" w:rsidP="00897A43">
            <w:pPr>
              <w:spacing w:before="100" w:after="100"/>
              <w:jc w:val="center"/>
              <w:rPr>
                <w:b/>
              </w:rPr>
            </w:pPr>
            <w:r w:rsidRPr="00BA4CBE">
              <w:rPr>
                <w:b/>
              </w:rPr>
              <w:t>Loại vi phạm</w:t>
            </w:r>
          </w:p>
        </w:tc>
        <w:tc>
          <w:tcPr>
            <w:tcW w:w="4424" w:type="dxa"/>
            <w:vAlign w:val="center"/>
          </w:tcPr>
          <w:p w:rsidR="00962BF5" w:rsidRPr="00BA4CBE" w:rsidRDefault="00962BF5" w:rsidP="00897A43">
            <w:pPr>
              <w:spacing w:before="100" w:after="100"/>
              <w:jc w:val="center"/>
              <w:rPr>
                <w:b/>
              </w:rPr>
            </w:pPr>
            <w:r w:rsidRPr="00BA4CBE">
              <w:rPr>
                <w:b/>
              </w:rPr>
              <w:t>Hành vi vi phạm</w:t>
            </w:r>
          </w:p>
        </w:tc>
        <w:tc>
          <w:tcPr>
            <w:tcW w:w="1806" w:type="dxa"/>
            <w:vAlign w:val="center"/>
          </w:tcPr>
          <w:p w:rsidR="00962BF5" w:rsidRPr="00BA4CBE" w:rsidRDefault="00962BF5" w:rsidP="00897A43">
            <w:pPr>
              <w:spacing w:before="100" w:after="100"/>
              <w:jc w:val="center"/>
              <w:rPr>
                <w:b/>
              </w:rPr>
            </w:pPr>
            <w:r w:rsidRPr="00BA4CBE">
              <w:rPr>
                <w:b/>
              </w:rPr>
              <w:t>Mức phạt tiền</w:t>
            </w:r>
          </w:p>
        </w:tc>
      </w:tr>
      <w:tr w:rsidR="00962BF5" w:rsidTr="00962BF5">
        <w:tc>
          <w:tcPr>
            <w:tcW w:w="538" w:type="dxa"/>
            <w:vMerge w:val="restart"/>
            <w:vAlign w:val="center"/>
          </w:tcPr>
          <w:p w:rsidR="00962BF5" w:rsidRDefault="00962BF5" w:rsidP="00897A43">
            <w:pPr>
              <w:spacing w:before="100" w:after="100"/>
              <w:jc w:val="center"/>
            </w:pPr>
            <w:r>
              <w:t>1</w:t>
            </w:r>
          </w:p>
        </w:tc>
        <w:tc>
          <w:tcPr>
            <w:tcW w:w="1205" w:type="dxa"/>
          </w:tcPr>
          <w:p w:rsidR="00962BF5" w:rsidRPr="00230CE7"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230CE7">
              <w:t>Hành vi thỏa thuận hạn chế cạnh tranh của các doanh nghiệp trên cùng thị trường liên quan</w:t>
            </w:r>
          </w:p>
        </w:tc>
        <w:tc>
          <w:tcPr>
            <w:tcW w:w="4424" w:type="dxa"/>
            <w:vAlign w:val="center"/>
          </w:tcPr>
          <w:p w:rsidR="00962BF5" w:rsidRDefault="00962BF5" w:rsidP="00897A43">
            <w:pPr>
              <w:spacing w:before="100" w:after="100"/>
              <w:ind w:left="69"/>
            </w:pPr>
            <w:r w:rsidRPr="00230CE7">
              <w:t>Thỏa thuận ấn định giá hàng hóa, dịch vụ một cách trực tiếp hoặc gián tiếp</w:t>
            </w:r>
          </w:p>
        </w:tc>
        <w:tc>
          <w:tcPr>
            <w:tcW w:w="1806" w:type="dxa"/>
            <w:vMerge w:val="restart"/>
            <w:vAlign w:val="center"/>
          </w:tcPr>
          <w:p w:rsidR="00962BF5" w:rsidRDefault="00962BF5" w:rsidP="00897A43">
            <w:pPr>
              <w:spacing w:before="100" w:after="100"/>
              <w:ind w:left="69"/>
            </w:pPr>
            <w:r w:rsidRPr="00230CE7">
              <w:t>Phạt tiền từ 01% đến 10% tổng doanh thu trên thị trường liên quan trong năm tài chính liền kề trước năm thực hiện hành vi vi phạm của từng doanh nghiệp là các bên tham gia thỏa thuận</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phân chia khách hàng, phân chia thị trường tiêu thụ, nguồn cung cấp hàng hóa, cung ứng dịch vụ</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hạn chế hoặc kiểm soát số lượng, khối lượng sản xuất, mua, bán hàng hóa, cung ứng dịch vụ</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để một hoặc các bên tham gia thỏa thuận thắng thầu khi tham gia đấu thầu trong việc cung cấp hàng hóa, cung ứng dịch vụ</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ngăn cản, kìm hãm, không cho doanh nghiệp khác tham gia thị trường hoặc phát triển kinh doanh</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loại bỏ khỏi thị trường những doanh nghiệp không phải là các bên tham gia thỏa thuận</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hạn chế phát triển kỹ thuật, công nghệ, hạn chế đầu tư khi thỏa thuận đó gây tác động hoặc có khả năng gây tác động hạn chế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 khi thỏa thuận đó gây tác động hoặc có khả năng gây tác động hạn chế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không giao dịch với các bên không tham gia thỏa thuận khi thỏa thuận đó gây tác động hoặc có khả năng gây tác động hạn chế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hạn chế thị trường tiêu thụ sản phẩm, nguồn cung cấp hàng hóa, cung ứng dịch vụ của các bên không tham gia thỏa thuận khi thỏa thuận đó gây tác động hoặc có khả năng gây tác động hạn chế cạnh tranh một cách đáng kể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khác gây tác động hoặc có khả năng gây tác động hạn chế cạnh tranh</w:t>
            </w:r>
          </w:p>
        </w:tc>
        <w:tc>
          <w:tcPr>
            <w:tcW w:w="1806" w:type="dxa"/>
            <w:vMerge/>
            <w:vAlign w:val="center"/>
          </w:tcPr>
          <w:p w:rsidR="00962BF5" w:rsidRDefault="00962BF5" w:rsidP="00897A43">
            <w:pPr>
              <w:spacing w:before="100" w:after="100"/>
              <w:ind w:left="69"/>
            </w:pPr>
          </w:p>
        </w:tc>
      </w:tr>
      <w:tr w:rsidR="00962BF5" w:rsidTr="00962BF5">
        <w:tc>
          <w:tcPr>
            <w:tcW w:w="538" w:type="dxa"/>
            <w:vMerge w:val="restart"/>
            <w:vAlign w:val="center"/>
          </w:tcPr>
          <w:p w:rsidR="00962BF5" w:rsidRDefault="00962BF5" w:rsidP="00897A43">
            <w:pPr>
              <w:spacing w:before="100" w:after="100"/>
              <w:jc w:val="center"/>
            </w:pPr>
            <w:r>
              <w:t>2</w:t>
            </w:r>
          </w:p>
        </w:tc>
        <w:tc>
          <w:tcPr>
            <w:tcW w:w="1205" w:type="dxa"/>
          </w:tcPr>
          <w:p w:rsidR="00962BF5" w:rsidRPr="00230CE7"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230CE7">
              <w:t>Hành vi thỏa thuận hạn chế cạnh tranh của các doanh nghiệp kinh doanh ở các công đoạn khác nhau trong cùng một chuỗi sản xuất, phân phối, cung ứng đối với một loại hàng hóa, dịch vụ nhất định</w:t>
            </w:r>
          </w:p>
        </w:tc>
        <w:tc>
          <w:tcPr>
            <w:tcW w:w="4424" w:type="dxa"/>
            <w:vAlign w:val="center"/>
          </w:tcPr>
          <w:p w:rsidR="00962BF5" w:rsidRDefault="00962BF5" w:rsidP="00897A43">
            <w:pPr>
              <w:spacing w:before="100" w:after="100"/>
              <w:ind w:left="69"/>
            </w:pPr>
            <w:r w:rsidRPr="00230CE7">
              <w:t>Thỏa thuận ấn định giá hàng hóa, dịch vụ một cách trực tiếp hoặc gián tiếp khi thỏa thuận đó gây tác động hoặc có khả năng gây tác động hạn chế cạnh tranh một cách đáng kể trên thị trường</w:t>
            </w:r>
          </w:p>
        </w:tc>
        <w:tc>
          <w:tcPr>
            <w:tcW w:w="1806" w:type="dxa"/>
            <w:vMerge w:val="restart"/>
            <w:vAlign w:val="center"/>
          </w:tcPr>
          <w:p w:rsidR="00962BF5" w:rsidRDefault="00962BF5" w:rsidP="00897A43">
            <w:pPr>
              <w:spacing w:before="100" w:after="100"/>
              <w:ind w:left="69"/>
            </w:pPr>
            <w:r w:rsidRPr="00230CE7">
              <w:t>Phạt tiền từ 01% đến 05% tổng doanh thu trên thị trường liên quan trong năm tài chính liền kề trước năm thực hiện hành vi vi phạm của từng doanh nghiệp là các bên tham gia thỏa thuận</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phân chia khách hàng, phân chia thị trường tiêu thụ, nguồn cung cấp hàng hóa, cung ứng dịch vụ khi thỏa thuận đó gây tác động hoặc có khả năng gây tác động hạn chế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hạn chế hoặc kiểm soát số lượng, khối lượng sản xuất, mua, bán hàng hóa, cung ứng dịch vụ khi thỏa thuận đó gây tác động hoặc có khả năng gây tác động hạn chế cạnh tranh một cách đáng kể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để một hoặc các bên tham gia thỏa thuận thắng thầu khi tham gia đấu thầu trong việc cung cấp hàng hóa, cung ứng dịch vụ</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ngăn cản, kìm hãm, không cho doanh nghiệp khác tham gia thị trường hoặc phát triển kinh doanh</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loại bỏ khỏi thị trường những doanh nghiệp không phải là các bên tham gia thỏa thuận</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hạn chế phát triển kỹ thuật, công nghệ, hạn chế đầu tư khi thỏa thuận đó gây tác động hoặc có khả năng gây tác động hạn chế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 xml:space="preserve">Thỏa thuận áp đặt hoặc ấn định điều kiện ký kết hợp đồng mua, bán hàng hóa, cung ứng </w:t>
            </w:r>
            <w:r w:rsidRPr="00230CE7">
              <w:lastRenderedPageBreak/>
              <w:t>dịch vụ cho doanh nghiệp khác hoặc thỏa thuận buộc doanh nghiệp khác chấp nhận các nghĩa vụ không liên quan trực tiếp đến đối tượng của hợp đồng khi thỏa thuận đó gây tác động hoặc có khả năng gây tác động hạn chế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không giao dịch với các bên không tham gia thỏa thuận khi thỏa thuận đó gây tác động hoặc có khả năng gây tác động hạn chế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hạn chế thị trường tiêu thụ sản phẩm, nguồn cung cấp hàng hóa, cung ứng dịch vụ của các bên không tham gia thỏa thuận khi thỏa thuận đó gây tác động hoặc có khả năng gây tác động hạn chế cạnh tranh một cách đáng kể trên thị trường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Thỏa thuận khác gây tác động hoặc có khả năng gây tác động hạn chế cạnh tranh</w:t>
            </w:r>
          </w:p>
        </w:tc>
        <w:tc>
          <w:tcPr>
            <w:tcW w:w="1806" w:type="dxa"/>
            <w:vMerge/>
            <w:vAlign w:val="center"/>
          </w:tcPr>
          <w:p w:rsidR="00962BF5" w:rsidRDefault="00962BF5" w:rsidP="00897A43">
            <w:pPr>
              <w:spacing w:before="100" w:after="100"/>
              <w:ind w:left="69"/>
            </w:pPr>
          </w:p>
        </w:tc>
      </w:tr>
      <w:tr w:rsidR="00962BF5" w:rsidTr="00962BF5">
        <w:tc>
          <w:tcPr>
            <w:tcW w:w="538" w:type="dxa"/>
            <w:vMerge w:val="restart"/>
            <w:vAlign w:val="center"/>
          </w:tcPr>
          <w:p w:rsidR="00962BF5" w:rsidRDefault="00962BF5" w:rsidP="00897A43">
            <w:pPr>
              <w:spacing w:before="100" w:after="100"/>
              <w:jc w:val="center"/>
            </w:pPr>
            <w:r>
              <w:t>3</w:t>
            </w:r>
          </w:p>
        </w:tc>
        <w:tc>
          <w:tcPr>
            <w:tcW w:w="1205" w:type="dxa"/>
          </w:tcPr>
          <w:p w:rsidR="00962BF5" w:rsidRPr="00230CE7"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230CE7">
              <w:t>Hành vi lạm dụng vị trí thống lĩnh thị trường</w:t>
            </w:r>
          </w:p>
        </w:tc>
        <w:tc>
          <w:tcPr>
            <w:tcW w:w="4424" w:type="dxa"/>
            <w:vAlign w:val="center"/>
          </w:tcPr>
          <w:p w:rsidR="00962BF5" w:rsidRDefault="00962BF5" w:rsidP="00897A43">
            <w:pPr>
              <w:spacing w:before="100" w:after="100"/>
              <w:ind w:left="69"/>
            </w:pPr>
            <w:r w:rsidRPr="00230CE7">
              <w:t>Bán hàng hóa, cung ứng dịch vụ dưới giá thành toàn bộ dẫn đến hoặc có khả năng dẫn đến loại bỏ đối thủ cạnh tranh</w:t>
            </w:r>
          </w:p>
        </w:tc>
        <w:tc>
          <w:tcPr>
            <w:tcW w:w="1806" w:type="dxa"/>
            <w:vMerge w:val="restart"/>
            <w:vAlign w:val="center"/>
          </w:tcPr>
          <w:p w:rsidR="00962BF5" w:rsidRDefault="00962BF5" w:rsidP="00897A43">
            <w:pPr>
              <w:spacing w:before="100" w:after="100"/>
              <w:ind w:left="69"/>
            </w:pPr>
            <w:r w:rsidRPr="00230CE7">
              <w:t>Phạt tiền từ 01% đến 10% tổng doanh thu trên thị trường liên quan trong năm tài chính liền kề trước năm thực hiện hành vi vi phạm của doanh nghiệp có vị trí thống lĩnh thị trường hoặc từng doanh nghiệp thuộc nhóm doanh nghiệp có vị trí thống lĩnh thị trường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Áp đặt giá mua, giá bán hàng hóa, dịch vụ bất hợp lý hoặc ấn định giá bán lại tối thiểu gây ra hoặc có khả năng gây ra thiệt hại cho khách hàng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Hạn chế sản xuất, phân phối hàng hóa, dịch vụ, giới hạn thị trường, cản trở sự phát triển kỹ thuật, công nghệ gây ra hoặc có khả năng gây ra thiệt hại cho khách hàng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Áp dụng điều kiện thương mại khác nhau trong các giao dịch tương tự dẫn đến hoặc có khả năng dẫn đến ngăn cản doanh nghiệp khác tham gia, mở rộng thị trường hoặc loại bỏ doanh nghiệp khác</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 xml:space="preserve">Áp đặt điều kiện cho doanh nghiệp khác trong ký kết hợp đồng mua, bán hàng hóa, dịch vụ hoặc yêu cầu doanh nghiệp khác, khách hàng chấp nhận các nghĩa vụ không liên quan trực tiếp đến đối tượng của hợp đồng dẫn đến hoặc có khả năng dẫn đến ngăn cản doanh </w:t>
            </w:r>
            <w:r w:rsidRPr="00230CE7">
              <w:lastRenderedPageBreak/>
              <w:t>nghiệp khác tham gia, mở rộng thị trường hoặc loại bỏ doanh nghiệp khác</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Ngăn cản việc tham gia hoặc mở rộng thị trường của doanh nghiệp khác</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Hành vi lạm dụng vị trí thống lĩnh thị trường bị cấm theo quy định của luật khác</w:t>
            </w:r>
          </w:p>
        </w:tc>
        <w:tc>
          <w:tcPr>
            <w:tcW w:w="1806" w:type="dxa"/>
            <w:vMerge/>
            <w:vAlign w:val="center"/>
          </w:tcPr>
          <w:p w:rsidR="00962BF5" w:rsidRDefault="00962BF5" w:rsidP="00897A43">
            <w:pPr>
              <w:spacing w:before="100" w:after="100"/>
              <w:ind w:left="69"/>
            </w:pPr>
          </w:p>
        </w:tc>
      </w:tr>
      <w:tr w:rsidR="00962BF5" w:rsidTr="00962BF5">
        <w:tc>
          <w:tcPr>
            <w:tcW w:w="538" w:type="dxa"/>
            <w:vMerge w:val="restart"/>
            <w:vAlign w:val="center"/>
          </w:tcPr>
          <w:p w:rsidR="00962BF5" w:rsidRDefault="00962BF5" w:rsidP="00897A43">
            <w:pPr>
              <w:spacing w:before="100" w:after="100"/>
              <w:jc w:val="center"/>
            </w:pPr>
            <w:r>
              <w:t>4</w:t>
            </w:r>
          </w:p>
        </w:tc>
        <w:tc>
          <w:tcPr>
            <w:tcW w:w="1205" w:type="dxa"/>
          </w:tcPr>
          <w:p w:rsidR="00962BF5" w:rsidRPr="00230CE7"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230CE7">
              <w:t>Hành vi lạm dụng vị trí độc quyền</w:t>
            </w:r>
          </w:p>
        </w:tc>
        <w:tc>
          <w:tcPr>
            <w:tcW w:w="4424" w:type="dxa"/>
            <w:vAlign w:val="center"/>
          </w:tcPr>
          <w:p w:rsidR="00962BF5" w:rsidRDefault="00962BF5" w:rsidP="00897A43">
            <w:pPr>
              <w:spacing w:before="100" w:after="100"/>
              <w:ind w:left="69"/>
            </w:pPr>
            <w:r w:rsidRPr="00230CE7">
              <w:t>Các hành vi quy định tại các điểm b, c, d, đ và e khoản 1 Điều 8 của Nghị đị</w:t>
            </w:r>
            <w:r>
              <w:t>nh 75/2019/NĐ-CP</w:t>
            </w:r>
          </w:p>
        </w:tc>
        <w:tc>
          <w:tcPr>
            <w:tcW w:w="1806" w:type="dxa"/>
            <w:vMerge w:val="restart"/>
            <w:vAlign w:val="center"/>
          </w:tcPr>
          <w:p w:rsidR="00962BF5" w:rsidRDefault="00962BF5" w:rsidP="00897A43">
            <w:pPr>
              <w:spacing w:before="100" w:after="100"/>
              <w:ind w:left="69"/>
            </w:pPr>
            <w:r w:rsidRPr="00230CE7">
              <w:t>Phạt tiền từ 01% đến 10% tổng doanh thu trên thị trường liên quan trong năm tài chính liền kề trước năm thực hiện hành vi vi phạm của doanh nghiệp có vị trí độc quyền</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Áp đặt các điều kiện bất lợi cho khách hàng</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Lợi dụng vị trí độc quyền để đơn phương thay đổi hoặc hủy bỏ hợp đồng đã giao kết mà không có lý do chính đáng</w:t>
            </w:r>
          </w:p>
        </w:tc>
        <w:tc>
          <w:tcPr>
            <w:tcW w:w="1806" w:type="dxa"/>
            <w:vMerge/>
            <w:vAlign w:val="center"/>
          </w:tcPr>
          <w:p w:rsidR="00962BF5" w:rsidRDefault="00962BF5" w:rsidP="00897A43">
            <w:pPr>
              <w:spacing w:before="100" w:after="100"/>
              <w:ind w:left="69"/>
            </w:pPr>
          </w:p>
        </w:tc>
      </w:tr>
      <w:tr w:rsidR="00962BF5" w:rsidTr="00962BF5">
        <w:trPr>
          <w:trHeight w:val="1475"/>
        </w:trPr>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230CE7">
              <w:t>Hành vi lạm dụng vị trí độc quyền bị cấm theo quy định của luật khác</w:t>
            </w:r>
          </w:p>
        </w:tc>
        <w:tc>
          <w:tcPr>
            <w:tcW w:w="1806" w:type="dxa"/>
            <w:vMerge/>
            <w:vAlign w:val="center"/>
          </w:tcPr>
          <w:p w:rsidR="00962BF5" w:rsidRDefault="00962BF5" w:rsidP="00897A43">
            <w:pPr>
              <w:spacing w:before="100" w:after="100"/>
              <w:ind w:left="69"/>
            </w:pPr>
          </w:p>
        </w:tc>
      </w:tr>
      <w:tr w:rsidR="00962BF5" w:rsidTr="00962BF5">
        <w:tc>
          <w:tcPr>
            <w:tcW w:w="538" w:type="dxa"/>
            <w:vMerge w:val="restart"/>
            <w:vAlign w:val="center"/>
          </w:tcPr>
          <w:p w:rsidR="00962BF5" w:rsidRDefault="00962BF5" w:rsidP="00897A43">
            <w:pPr>
              <w:spacing w:before="100" w:after="100"/>
              <w:jc w:val="center"/>
            </w:pPr>
            <w:r>
              <w:t>5</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D845F4">
              <w:t>Hành vi vi phạm quy định về tập trung kinh tế</w:t>
            </w:r>
          </w:p>
        </w:tc>
        <w:tc>
          <w:tcPr>
            <w:tcW w:w="4424" w:type="dxa"/>
            <w:vAlign w:val="center"/>
          </w:tcPr>
          <w:p w:rsidR="00962BF5" w:rsidRDefault="00962BF5" w:rsidP="00897A43">
            <w:pPr>
              <w:spacing w:before="100" w:after="100"/>
              <w:ind w:left="69"/>
            </w:pPr>
            <w:r w:rsidRPr="00D845F4">
              <w:t>Hành vi sáp nhập doanh nghiệp bị cấm</w:t>
            </w:r>
          </w:p>
        </w:tc>
        <w:tc>
          <w:tcPr>
            <w:tcW w:w="1806" w:type="dxa"/>
            <w:vAlign w:val="center"/>
          </w:tcPr>
          <w:p w:rsidR="00962BF5" w:rsidRDefault="00962BF5" w:rsidP="00897A43">
            <w:pPr>
              <w:spacing w:before="100" w:after="100"/>
              <w:ind w:left="69"/>
            </w:pPr>
            <w:r w:rsidRPr="00D845F4">
              <w:t>Phạt tiền doanh nghiệp nhận sáp nhập từ 01 % đến 05 % tổng doanh thu trên thị trường liên quan của doanh nghiệp nhận sáp nhập và doanh nghiệp bị sáp nhập trong năm tài chính liền kề trước năm thực hiệ</w:t>
            </w:r>
            <w:r>
              <w:t xml:space="preserve">n hành vi </w:t>
            </w:r>
            <w:bookmarkStart w:id="1" w:name="khoan_10_1"/>
            <w:r w:rsidRPr="00D845F4">
              <w:t>sáp nhập bị cấm theo quy định tại</w:t>
            </w:r>
            <w:bookmarkEnd w:id="1"/>
            <w:r w:rsidRPr="00D845F4">
              <w:t> </w:t>
            </w:r>
            <w:bookmarkStart w:id="2" w:name="dc_4"/>
            <w:r w:rsidRPr="00D845F4">
              <w:t>Điều 30 của Luật Cạnh tranh</w:t>
            </w:r>
            <w:bookmarkEnd w:id="2"/>
            <w:r w:rsidRPr="00D845F4">
              <w:t>.</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Hành vi hợp nhất doanh nghiệp bị cấm</w:t>
            </w:r>
            <w:r>
              <w:t xml:space="preserve"> </w:t>
            </w:r>
          </w:p>
        </w:tc>
        <w:tc>
          <w:tcPr>
            <w:tcW w:w="1806" w:type="dxa"/>
            <w:vAlign w:val="center"/>
          </w:tcPr>
          <w:p w:rsidR="00962BF5" w:rsidRDefault="00962BF5" w:rsidP="00897A43">
            <w:pPr>
              <w:spacing w:before="100" w:after="100"/>
              <w:ind w:left="69"/>
            </w:pPr>
            <w:r w:rsidRPr="00D845F4">
              <w:t xml:space="preserve">Phạt tiền doanh nghiệp được hình thành sau hợp nhất từ 01% đến 05% tổng doanh thu trên </w:t>
            </w:r>
            <w:r w:rsidRPr="00D845F4">
              <w:lastRenderedPageBreak/>
              <w:t>thị trường liên quan trong năm tài chính liền kề trước năm thực hiện hành vi vi phạm của các doanh nghiệp tham gia hợp nhất đối với hành vi hợp nhất bị cấm theo quy định tại Điều 30 của Luật Cạnh tranh.</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Hành vi mua lại doanh nghiệp bị cấm</w:t>
            </w:r>
          </w:p>
        </w:tc>
        <w:tc>
          <w:tcPr>
            <w:tcW w:w="1806" w:type="dxa"/>
            <w:vAlign w:val="center"/>
          </w:tcPr>
          <w:p w:rsidR="00962BF5" w:rsidRDefault="00962BF5" w:rsidP="00897A43">
            <w:pPr>
              <w:spacing w:before="100" w:after="100"/>
              <w:ind w:left="69"/>
            </w:pPr>
            <w:r w:rsidRPr="00D845F4">
              <w:t>Phạt tiền doanh nghiệp mua lại từ 01% đến 05% tổng doanh thu trên thị trường liên quan trong năm tài chính liền kề trước năm thực hiện hành vi vi phạm của doanh nghiệp mua lại và doanh nghiệp bị mua lại đối với hành vi mua lại một phần hoặc toàn bộ vốn góp, tài sản của doanh nghiệp khác bị cấm theo quy định tại Điều 30 của Luật Cạnh tranh.</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Hành vi liên doanh giữa các doanh nghiệp bị cấm</w:t>
            </w:r>
          </w:p>
        </w:tc>
        <w:tc>
          <w:tcPr>
            <w:tcW w:w="1806" w:type="dxa"/>
            <w:vAlign w:val="center"/>
          </w:tcPr>
          <w:p w:rsidR="00962BF5" w:rsidRDefault="00962BF5" w:rsidP="00897A43">
            <w:pPr>
              <w:spacing w:before="100" w:after="100"/>
              <w:ind w:left="69"/>
            </w:pPr>
            <w:r w:rsidRPr="00D845F4">
              <w:t xml:space="preserve">Phạt tiền các bên tham gia liên doanh từ 01% đến 05% tổng doanh thu trên thị trường liên quan trong năm tài chính </w:t>
            </w:r>
            <w:r w:rsidRPr="00D845F4">
              <w:lastRenderedPageBreak/>
              <w:t>liền kề trước năm thực hiện hành vi vi phạm của doanh nghiệp tham gia liên doanh đối với hành vi liên doanh bị cấm theo quy định tại Điều 30 của Luật Cạ</w:t>
            </w:r>
            <w:r>
              <w:t>nh tranh.</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Hành vi không thông báo tập trung kinh tế</w:t>
            </w:r>
          </w:p>
        </w:tc>
        <w:tc>
          <w:tcPr>
            <w:tcW w:w="1806" w:type="dxa"/>
            <w:vAlign w:val="center"/>
          </w:tcPr>
          <w:p w:rsidR="00962BF5" w:rsidRDefault="00962BF5" w:rsidP="00897A43">
            <w:pPr>
              <w:spacing w:before="100" w:after="100"/>
              <w:ind w:left="69"/>
            </w:pPr>
            <w:r w:rsidRPr="00D845F4">
              <w:t>Phạt tiền từ 01% đến 05% tổng doanh thu trên thị trường liên quan trong năm tài chính liền kề trước năm thực hiện hành vi vi phạm của từng doanh nghiệp tham gia tập trung kinh tế mà không thực hiện nghĩa vụ thông báo theo quy định tại Điều 33 của Luật Cạnh tranh.</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Thực hiện tập trung kinh tế khi chưa có thông báo kết quả thẩm định sơ bộ của Ủy ban Cạnh tranh Quốc gia quy định tại khoản 2 Điều 36 của Luật Cạnh tranh, trừ trường hợp quy định tại khoản 3 Điều 36 của Luật Cạnh tranh</w:t>
            </w:r>
          </w:p>
        </w:tc>
        <w:tc>
          <w:tcPr>
            <w:tcW w:w="1806" w:type="dxa"/>
            <w:vMerge w:val="restart"/>
            <w:vAlign w:val="center"/>
          </w:tcPr>
          <w:p w:rsidR="00962BF5" w:rsidRDefault="00962BF5" w:rsidP="00897A43">
            <w:pPr>
              <w:spacing w:before="100" w:after="100"/>
              <w:ind w:left="69"/>
            </w:pPr>
            <w:r w:rsidRPr="00D845F4">
              <w:t>Phạt tiền từ 0,5% đến 01% tổng doanh thu trên thị trường liên quan trong năm tài chính liền kề trước năm thực hiện hành vi vi phạm của từng doanh nghiệp tham gia tập trung kinh tế</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Thực hiện việc tập trung kinh tế khi Ủy ban Cạnh tranh Quốc gia chưa ra quyết định quy định tại Điều 41 của Luật Cạnh tranh trong trường hợp hành vi tập trung kinh tế phải thẩm định chính thức</w:t>
            </w:r>
          </w:p>
        </w:tc>
        <w:tc>
          <w:tcPr>
            <w:tcW w:w="1806" w:type="dxa"/>
            <w:vMerge/>
            <w:vAlign w:val="center"/>
          </w:tcPr>
          <w:p w:rsidR="00962BF5"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Không thực hiện hoặc thực hiện không đầy đủ điều kiện được thể hiện trong quyết định về tập trung kinh tế quy định tại điểm b khoản 1 Điều 41 của Luật Cạnh tranh</w:t>
            </w:r>
          </w:p>
        </w:tc>
        <w:tc>
          <w:tcPr>
            <w:tcW w:w="1806" w:type="dxa"/>
            <w:vMerge w:val="restart"/>
            <w:vAlign w:val="center"/>
          </w:tcPr>
          <w:p w:rsidR="00962BF5" w:rsidRDefault="00962BF5" w:rsidP="00897A43">
            <w:pPr>
              <w:spacing w:before="100" w:after="100"/>
              <w:ind w:left="69"/>
            </w:pPr>
            <w:r w:rsidRPr="00D845F4">
              <w:t xml:space="preserve">Phạt tiền từ 01% đến 03% tổng doanh thu trên thị trường liên </w:t>
            </w:r>
            <w:r w:rsidRPr="00D845F4">
              <w:lastRenderedPageBreak/>
              <w:t>quan trong năm tài chính liền kề trước năm thực hiện hành vi vi phạm của từng doanh nghiệp tham gia tập trung kinh tế</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Thực hiện tập trung kinh tế trong trường hợp quy định tại điểm c khoản 1 Điều 41 của Luật Cạnh tranh</w:t>
            </w:r>
          </w:p>
        </w:tc>
        <w:tc>
          <w:tcPr>
            <w:tcW w:w="1806" w:type="dxa"/>
            <w:vMerge/>
            <w:vAlign w:val="center"/>
          </w:tcPr>
          <w:p w:rsidR="00962BF5" w:rsidRDefault="00962BF5" w:rsidP="00897A43">
            <w:pPr>
              <w:spacing w:before="100" w:after="100"/>
              <w:ind w:left="69"/>
            </w:pPr>
          </w:p>
        </w:tc>
      </w:tr>
      <w:tr w:rsidR="00962BF5" w:rsidTr="00962BF5">
        <w:tc>
          <w:tcPr>
            <w:tcW w:w="538" w:type="dxa"/>
            <w:vMerge w:val="restart"/>
            <w:vAlign w:val="center"/>
          </w:tcPr>
          <w:p w:rsidR="00962BF5" w:rsidRDefault="00962BF5" w:rsidP="00897A43">
            <w:pPr>
              <w:spacing w:before="100" w:after="100"/>
              <w:jc w:val="center"/>
            </w:pPr>
            <w:r>
              <w:lastRenderedPageBreak/>
              <w:t>6</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D845F4">
              <w:t>Hành vi xâm phạm thông tin bí mật trong kinh doanh</w:t>
            </w:r>
          </w:p>
        </w:tc>
        <w:tc>
          <w:tcPr>
            <w:tcW w:w="4424" w:type="dxa"/>
            <w:vAlign w:val="center"/>
          </w:tcPr>
          <w:p w:rsidR="00962BF5" w:rsidRDefault="00962BF5" w:rsidP="00897A43">
            <w:pPr>
              <w:spacing w:before="100" w:after="100"/>
              <w:ind w:left="69"/>
            </w:pPr>
            <w:r w:rsidRPr="00D845F4">
              <w:t>Tiếp cận, thu thập thông tin bí mật trong kinh doanh bằng cách chống lại các biện pháp bảo mật của người sở hữu thông tin đó</w:t>
            </w:r>
          </w:p>
        </w:tc>
        <w:tc>
          <w:tcPr>
            <w:tcW w:w="1806" w:type="dxa"/>
            <w:vMerge w:val="restart"/>
            <w:vAlign w:val="center"/>
          </w:tcPr>
          <w:p w:rsidR="00962BF5" w:rsidRDefault="00962BF5" w:rsidP="00897A43">
            <w:pPr>
              <w:spacing w:before="100" w:after="100"/>
              <w:ind w:left="69"/>
            </w:pPr>
            <w:r w:rsidRPr="00D845F4">
              <w:t>Phạt tiền từ 200.000.000 đồng đến 300.000.000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rsidRPr="00D845F4">
              <w:t>Tiết lộ, sử dụng thông tin bí mật trong kinh doanh mà không được phép của chủ sở hữu thông tin đó</w:t>
            </w:r>
          </w:p>
        </w:tc>
        <w:tc>
          <w:tcPr>
            <w:tcW w:w="1806" w:type="dxa"/>
            <w:vMerge/>
            <w:vAlign w:val="center"/>
          </w:tcPr>
          <w:p w:rsidR="00962BF5" w:rsidRDefault="00962BF5" w:rsidP="00897A43">
            <w:pPr>
              <w:spacing w:before="100" w:after="100"/>
              <w:ind w:left="69"/>
            </w:pPr>
          </w:p>
        </w:tc>
      </w:tr>
      <w:tr w:rsidR="00962BF5" w:rsidTr="00962BF5">
        <w:tc>
          <w:tcPr>
            <w:tcW w:w="538" w:type="dxa"/>
            <w:vMerge w:val="restart"/>
            <w:vAlign w:val="center"/>
          </w:tcPr>
          <w:p w:rsidR="00962BF5" w:rsidRDefault="00962BF5" w:rsidP="00897A43">
            <w:pPr>
              <w:spacing w:before="100" w:after="100"/>
              <w:jc w:val="center"/>
            </w:pPr>
            <w:r>
              <w:t>7</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D845F4">
              <w:t>Hành vi ép buộc trong kinh doanh</w:t>
            </w:r>
          </w:p>
        </w:tc>
        <w:tc>
          <w:tcPr>
            <w:tcW w:w="4424" w:type="dxa"/>
            <w:vAlign w:val="center"/>
          </w:tcPr>
          <w:p w:rsidR="00962BF5" w:rsidRDefault="00962BF5" w:rsidP="00897A43">
            <w:pPr>
              <w:spacing w:before="100" w:after="100"/>
              <w:ind w:left="69"/>
            </w:pPr>
            <w:r>
              <w:t>É</w:t>
            </w:r>
            <w:r w:rsidRPr="00D845F4">
              <w:t>p buộc khách hàng, đối tác kinh doanh của doanh nghiệp khác bằng hành vi đe dọa hoặc cưỡng ép để buộc họ không giao dịch hoặc ngừng giao dịch với doanh nghiệp đó</w:t>
            </w:r>
          </w:p>
        </w:tc>
        <w:tc>
          <w:tcPr>
            <w:tcW w:w="1806" w:type="dxa"/>
            <w:vAlign w:val="center"/>
          </w:tcPr>
          <w:p w:rsidR="00962BF5" w:rsidRDefault="00962BF5" w:rsidP="00897A43">
            <w:pPr>
              <w:spacing w:before="100" w:after="100"/>
              <w:ind w:left="69"/>
            </w:pPr>
            <w:r w:rsidRPr="00D845F4">
              <w:t>Phạt tiền từ 100.000.000 đồng đến 200.000.000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t>É</w:t>
            </w:r>
            <w:r w:rsidRPr="00D845F4">
              <w:t>p buộc khách hàng, đối tác kinh doanh của doanh nghiệp khác bằng hành vi đe dọa hoặc cưỡng ép để buộc họ không giao dịch hoặc ngừng giao dịch với doanh nghiệp đó</w:t>
            </w:r>
            <w:r>
              <w:t xml:space="preserve"> </w:t>
            </w:r>
            <w:r w:rsidRPr="00D845F4">
              <w:t>trong trường hợp ép buộc khách hàng hoặc đối tác kinh doanh lớn nhất của đối thủ cạnh tranh</w:t>
            </w:r>
          </w:p>
        </w:tc>
        <w:tc>
          <w:tcPr>
            <w:tcW w:w="1806" w:type="dxa"/>
            <w:vAlign w:val="center"/>
          </w:tcPr>
          <w:p w:rsidR="00962BF5" w:rsidRDefault="00962BF5" w:rsidP="00897A43">
            <w:pPr>
              <w:spacing w:before="100" w:after="100"/>
              <w:ind w:left="69"/>
            </w:pPr>
            <w:r w:rsidRPr="00D845F4">
              <w:t>Phạt tiền từ 200.000.000 đồng đến 300.000.000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Default="00962BF5" w:rsidP="00897A43">
            <w:pPr>
              <w:spacing w:before="100" w:after="100"/>
              <w:ind w:left="69"/>
            </w:pPr>
          </w:p>
        </w:tc>
        <w:tc>
          <w:tcPr>
            <w:tcW w:w="1377" w:type="dxa"/>
            <w:vMerge/>
            <w:vAlign w:val="center"/>
          </w:tcPr>
          <w:p w:rsidR="00962BF5" w:rsidRDefault="00962BF5" w:rsidP="00897A43">
            <w:pPr>
              <w:spacing w:before="100" w:after="100"/>
              <w:ind w:left="69"/>
            </w:pPr>
          </w:p>
        </w:tc>
        <w:tc>
          <w:tcPr>
            <w:tcW w:w="4424" w:type="dxa"/>
            <w:vAlign w:val="center"/>
          </w:tcPr>
          <w:p w:rsidR="00962BF5" w:rsidRDefault="00962BF5" w:rsidP="00897A43">
            <w:pPr>
              <w:spacing w:before="100" w:after="100"/>
              <w:ind w:left="69"/>
            </w:pPr>
            <w:r>
              <w:t>T</w:t>
            </w:r>
            <w:r w:rsidRPr="00D845F4">
              <w:t xml:space="preserve">rong trường hợp </w:t>
            </w:r>
            <w:r>
              <w:t xml:space="preserve">các </w:t>
            </w:r>
            <w:r w:rsidRPr="00D845F4">
              <w:t>hành vi vi phạm</w:t>
            </w:r>
            <w:r>
              <w:t xml:space="preserve"> trên</w:t>
            </w:r>
            <w:r w:rsidRPr="00D845F4">
              <w:t xml:space="preserve"> được thực hiện trên phạm vi từ hai tỉnh, thành phố trực thuộc trung ương trở lên</w:t>
            </w:r>
          </w:p>
        </w:tc>
        <w:tc>
          <w:tcPr>
            <w:tcW w:w="1806" w:type="dxa"/>
            <w:vAlign w:val="center"/>
          </w:tcPr>
          <w:p w:rsidR="00962BF5" w:rsidRDefault="00962BF5" w:rsidP="00897A43">
            <w:pPr>
              <w:spacing w:before="100" w:after="100"/>
              <w:ind w:left="69"/>
            </w:pPr>
            <w:r w:rsidRPr="00D845F4">
              <w:t>Phạt tiền gấp hai lần mức quy định</w:t>
            </w:r>
            <w:r>
              <w:t xml:space="preserve"> nêu trên</w:t>
            </w:r>
          </w:p>
        </w:tc>
      </w:tr>
      <w:tr w:rsidR="00962BF5" w:rsidTr="00962BF5">
        <w:tc>
          <w:tcPr>
            <w:tcW w:w="538" w:type="dxa"/>
            <w:vMerge w:val="restart"/>
            <w:vAlign w:val="center"/>
          </w:tcPr>
          <w:p w:rsidR="00962BF5" w:rsidRDefault="00962BF5" w:rsidP="00897A43">
            <w:pPr>
              <w:spacing w:before="100" w:after="100"/>
              <w:jc w:val="center"/>
            </w:pPr>
            <w:r>
              <w:t>8</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Default="00962BF5" w:rsidP="00897A43">
            <w:pPr>
              <w:spacing w:before="100" w:after="100"/>
              <w:ind w:left="69"/>
            </w:pPr>
            <w:r w:rsidRPr="00D845F4">
              <w:t>Cung cấp thông tin không trung thực về doanh nghiệp khác</w:t>
            </w:r>
          </w:p>
        </w:tc>
        <w:tc>
          <w:tcPr>
            <w:tcW w:w="4424" w:type="dxa"/>
            <w:vAlign w:val="center"/>
          </w:tcPr>
          <w:p w:rsidR="00962BF5" w:rsidRDefault="00962BF5" w:rsidP="00897A43">
            <w:pPr>
              <w:spacing w:before="100" w:after="100"/>
              <w:ind w:left="69"/>
            </w:pPr>
            <w:r>
              <w:t>C</w:t>
            </w:r>
            <w:r w:rsidRPr="00D845F4">
              <w:t>ung cấp thông tin không trung thực về doanh nghiệp khác bằng cách gián tiếp đưa thông tin không trung thực về doanh nghiệp gây ảnh hưởng xấu đến uy tín, tình trạng tài chính hoặc hoạt động kinh doanh của doanh nghiệp đó</w:t>
            </w:r>
          </w:p>
        </w:tc>
        <w:tc>
          <w:tcPr>
            <w:tcW w:w="1806" w:type="dxa"/>
            <w:vAlign w:val="center"/>
          </w:tcPr>
          <w:p w:rsidR="00962BF5" w:rsidRDefault="00962BF5" w:rsidP="00897A43">
            <w:pPr>
              <w:spacing w:before="100" w:after="100"/>
              <w:ind w:left="69"/>
            </w:pPr>
            <w:r w:rsidRPr="00D845F4">
              <w:t>Phạt tiền từ 100.000.000 đồng đến 200.000.000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C</w:t>
            </w:r>
            <w:r w:rsidRPr="00D845F4">
              <w:t>ung cấp thông tin không trung thực về doanh nghiệp khác bằng cách trực tiếp đưa thông tin không trung thực về doanh nghiệp gây ảnh hưởng xấu đến uy tín, tình trạng tài chính hoặc hoạt động kinh doanh của doanh nghiệp đó</w:t>
            </w:r>
          </w:p>
        </w:tc>
        <w:tc>
          <w:tcPr>
            <w:tcW w:w="1806" w:type="dxa"/>
            <w:vAlign w:val="center"/>
          </w:tcPr>
          <w:p w:rsidR="00962BF5" w:rsidRPr="00D845F4" w:rsidRDefault="00962BF5" w:rsidP="00897A43">
            <w:pPr>
              <w:spacing w:before="100" w:after="100"/>
              <w:ind w:left="69"/>
            </w:pPr>
            <w:r w:rsidRPr="00D845F4">
              <w:t>Phạt tiền từ 200.000.000 đồng đến 300.000.000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T</w:t>
            </w:r>
            <w:r w:rsidRPr="00D845F4">
              <w:t xml:space="preserve">rong trường hợp </w:t>
            </w:r>
            <w:r>
              <w:t xml:space="preserve">các </w:t>
            </w:r>
            <w:r w:rsidRPr="00D845F4">
              <w:t xml:space="preserve">hành vi vi phạm </w:t>
            </w:r>
            <w:r>
              <w:t xml:space="preserve">nêu trên </w:t>
            </w:r>
            <w:r w:rsidRPr="00D845F4">
              <w:t>được thực hiện trên phạm vi từ hai tỉnh, thành phố trực thuộc trung ương trở lên</w:t>
            </w:r>
          </w:p>
        </w:tc>
        <w:tc>
          <w:tcPr>
            <w:tcW w:w="1806" w:type="dxa"/>
            <w:vAlign w:val="center"/>
          </w:tcPr>
          <w:p w:rsidR="00962BF5" w:rsidRPr="00D845F4" w:rsidRDefault="00962BF5" w:rsidP="00897A43">
            <w:pPr>
              <w:spacing w:before="100" w:after="100"/>
              <w:ind w:left="69"/>
            </w:pPr>
            <w:r w:rsidRPr="00D845F4">
              <w:t>Phạt tiền gấp hai lần mức quy định</w:t>
            </w:r>
            <w:r>
              <w:t xml:space="preserve"> trên</w:t>
            </w:r>
          </w:p>
        </w:tc>
      </w:tr>
      <w:tr w:rsidR="00962BF5" w:rsidTr="00962BF5">
        <w:tc>
          <w:tcPr>
            <w:tcW w:w="538" w:type="dxa"/>
            <w:vMerge w:val="restart"/>
            <w:vAlign w:val="center"/>
          </w:tcPr>
          <w:p w:rsidR="00962BF5" w:rsidRDefault="00962BF5" w:rsidP="00897A43">
            <w:pPr>
              <w:spacing w:before="100" w:after="100"/>
              <w:jc w:val="center"/>
            </w:pPr>
            <w:r>
              <w:t>9</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Pr="00D845F4" w:rsidRDefault="00962BF5" w:rsidP="00897A43">
            <w:pPr>
              <w:spacing w:before="100" w:after="100"/>
              <w:ind w:left="69"/>
            </w:pPr>
            <w:r w:rsidRPr="00D845F4">
              <w:t>Hành vi gây rối hoạt động kinh doanh của doanh nghiệp khác</w:t>
            </w:r>
          </w:p>
        </w:tc>
        <w:tc>
          <w:tcPr>
            <w:tcW w:w="4424" w:type="dxa"/>
            <w:vAlign w:val="center"/>
          </w:tcPr>
          <w:p w:rsidR="00962BF5" w:rsidRDefault="00962BF5" w:rsidP="00897A43">
            <w:pPr>
              <w:spacing w:before="100" w:after="100"/>
              <w:ind w:left="69"/>
            </w:pPr>
            <w:r>
              <w:t>G</w:t>
            </w:r>
            <w:r w:rsidRPr="00D845F4">
              <w:t>ián tiếp cản trở, làm gián đoạn hoạt động kinh doanh của doanh nghiệp khác</w:t>
            </w:r>
          </w:p>
        </w:tc>
        <w:tc>
          <w:tcPr>
            <w:tcW w:w="1806" w:type="dxa"/>
            <w:vAlign w:val="center"/>
          </w:tcPr>
          <w:p w:rsidR="00962BF5" w:rsidRPr="00D845F4" w:rsidRDefault="00962BF5" w:rsidP="00897A43">
            <w:pPr>
              <w:spacing w:before="100" w:after="100"/>
              <w:ind w:left="69"/>
            </w:pPr>
            <w:r w:rsidRPr="00D845F4">
              <w:t>Phạt tiền từ 50.000.000 đồng đến 100.000.000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p>
        </w:tc>
        <w:tc>
          <w:tcPr>
            <w:tcW w:w="1806" w:type="dxa"/>
            <w:vAlign w:val="center"/>
          </w:tcPr>
          <w:p w:rsidR="00962BF5" w:rsidRPr="00D845F4"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T</w:t>
            </w:r>
            <w:r w:rsidRPr="00D845F4">
              <w:t>rực tiếp cản trở, làm gián đoạn hoạt động kinh doanh của doanh nghiệp khác</w:t>
            </w:r>
          </w:p>
        </w:tc>
        <w:tc>
          <w:tcPr>
            <w:tcW w:w="1806" w:type="dxa"/>
            <w:vAlign w:val="center"/>
          </w:tcPr>
          <w:p w:rsidR="00962BF5" w:rsidRPr="00D845F4" w:rsidRDefault="00962BF5" w:rsidP="00897A43">
            <w:pPr>
              <w:spacing w:before="100" w:after="100"/>
              <w:ind w:left="69"/>
            </w:pPr>
            <w:r w:rsidRPr="00D845F4">
              <w:t>Phạt tiền từ 100.000.000 đồng đến 150.000.000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T</w:t>
            </w:r>
            <w:r w:rsidRPr="00D845F4">
              <w:t xml:space="preserve">rong trường hợp </w:t>
            </w:r>
            <w:r>
              <w:t xml:space="preserve">các </w:t>
            </w:r>
            <w:r w:rsidRPr="00D845F4">
              <w:t xml:space="preserve">hành vi vi phạm </w:t>
            </w:r>
            <w:r>
              <w:t xml:space="preserve">nêu trên </w:t>
            </w:r>
            <w:r w:rsidRPr="00D845F4">
              <w:t>được thực hiện trên phạm vi từ hai tỉnh, thành phố trực thuộc trung ương trở lên</w:t>
            </w:r>
          </w:p>
        </w:tc>
        <w:tc>
          <w:tcPr>
            <w:tcW w:w="1806" w:type="dxa"/>
            <w:vAlign w:val="center"/>
          </w:tcPr>
          <w:p w:rsidR="00962BF5" w:rsidRPr="00D845F4" w:rsidRDefault="00962BF5" w:rsidP="00897A43">
            <w:pPr>
              <w:spacing w:before="100" w:after="100"/>
              <w:ind w:left="69"/>
            </w:pPr>
            <w:r w:rsidRPr="00D845F4">
              <w:t>Phạt tiền gấp hai lần mức quy định</w:t>
            </w:r>
            <w:r>
              <w:t xml:space="preserve"> trên</w:t>
            </w:r>
          </w:p>
        </w:tc>
      </w:tr>
      <w:tr w:rsidR="00962BF5" w:rsidTr="00962BF5">
        <w:tc>
          <w:tcPr>
            <w:tcW w:w="538" w:type="dxa"/>
            <w:vMerge w:val="restart"/>
            <w:vAlign w:val="center"/>
          </w:tcPr>
          <w:p w:rsidR="00962BF5" w:rsidRDefault="00962BF5" w:rsidP="00897A43">
            <w:pPr>
              <w:spacing w:before="100" w:after="100"/>
              <w:jc w:val="center"/>
            </w:pPr>
            <w:r>
              <w:t>10</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Pr="00D845F4" w:rsidRDefault="00962BF5" w:rsidP="00897A43">
            <w:pPr>
              <w:spacing w:before="100" w:after="100"/>
              <w:ind w:left="69"/>
            </w:pPr>
            <w:r w:rsidRPr="00D845F4">
              <w:t>Hành vi lôi kéo khách hàng bất chính</w:t>
            </w:r>
          </w:p>
        </w:tc>
        <w:tc>
          <w:tcPr>
            <w:tcW w:w="4424" w:type="dxa"/>
            <w:vAlign w:val="center"/>
          </w:tcPr>
          <w:p w:rsidR="00962BF5" w:rsidRDefault="00962BF5" w:rsidP="00897A43">
            <w:pPr>
              <w:spacing w:before="100" w:after="100"/>
              <w:ind w:left="69"/>
            </w:pPr>
            <w:r>
              <w:t>L</w:t>
            </w:r>
            <w:r w:rsidRPr="00D845F4">
              <w:t>ôi kéo khách hàng bất chính bằ</w:t>
            </w:r>
            <w:r>
              <w:t>ng</w:t>
            </w:r>
            <w:r w:rsidRPr="00D845F4">
              <w:t xml:space="preserve"> hình thức</w:t>
            </w:r>
            <w:r>
              <w:t xml:space="preserve"> đưa </w:t>
            </w:r>
            <w:r w:rsidRPr="00D845F4">
              <w:t>thông tin gian dối hoặc gây nhầm lẫn cho khách hàng về doanh nghiệp hoặc hàng hóa, dịch vụ, khuyến mại, điều kiện giao dịch liên quan đến hàng hóa, dịch vụ mà doanh nghiệp cung cấp nhằm thu hút khách hàng của doanh nghiệp khác</w:t>
            </w:r>
          </w:p>
        </w:tc>
        <w:tc>
          <w:tcPr>
            <w:tcW w:w="1806" w:type="dxa"/>
            <w:vMerge w:val="restart"/>
            <w:vAlign w:val="center"/>
          </w:tcPr>
          <w:p w:rsidR="00962BF5" w:rsidRPr="00D845F4" w:rsidRDefault="00962BF5" w:rsidP="00897A43">
            <w:pPr>
              <w:spacing w:before="100" w:after="100"/>
              <w:ind w:left="69"/>
            </w:pPr>
            <w:r w:rsidRPr="00D845F4">
              <w:t>Phạt tiền từ 100.000.000 đồng đến 200.000.000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L</w:t>
            </w:r>
            <w:r w:rsidRPr="00D845F4">
              <w:t>ôi kéo khách hàng bất chính bằ</w:t>
            </w:r>
            <w:r>
              <w:t>ng</w:t>
            </w:r>
            <w:r w:rsidRPr="00D845F4">
              <w:t xml:space="preserve"> hình thức</w:t>
            </w:r>
            <w:r>
              <w:t xml:space="preserve"> </w:t>
            </w:r>
            <w:r w:rsidRPr="00D845F4">
              <w:t>So sánh hàng hóa, dịch vụ của mình với hàng hóa, dịch vụ cùng loại của doanh nghiệp khác nhưng không chứng minh được nội dung</w:t>
            </w:r>
          </w:p>
        </w:tc>
        <w:tc>
          <w:tcPr>
            <w:tcW w:w="1806" w:type="dxa"/>
            <w:vMerge/>
            <w:vAlign w:val="center"/>
          </w:tcPr>
          <w:p w:rsidR="00962BF5" w:rsidRPr="00D845F4" w:rsidRDefault="00962BF5" w:rsidP="00897A43">
            <w:pPr>
              <w:spacing w:before="100" w:after="100"/>
              <w:ind w:left="69"/>
            </w:pP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T</w:t>
            </w:r>
            <w:r w:rsidRPr="00D845F4">
              <w:t xml:space="preserve">rong trường hợp </w:t>
            </w:r>
            <w:r>
              <w:t xml:space="preserve">các </w:t>
            </w:r>
            <w:r w:rsidRPr="00D845F4">
              <w:t xml:space="preserve">hành vi vi phạm </w:t>
            </w:r>
            <w:r>
              <w:t xml:space="preserve">nêu trên </w:t>
            </w:r>
            <w:r w:rsidRPr="00D845F4">
              <w:t>được thực hiện trên phạm vi từ hai tỉnh, thành phố trực thuộc trung ương trở lên</w:t>
            </w:r>
          </w:p>
        </w:tc>
        <w:tc>
          <w:tcPr>
            <w:tcW w:w="1806" w:type="dxa"/>
            <w:vAlign w:val="center"/>
          </w:tcPr>
          <w:p w:rsidR="00962BF5" w:rsidRPr="00D845F4" w:rsidRDefault="00962BF5" w:rsidP="00897A43">
            <w:pPr>
              <w:spacing w:before="100" w:after="100"/>
              <w:ind w:left="69"/>
            </w:pPr>
            <w:r w:rsidRPr="00D845F4">
              <w:t>Phạt tiền gấp hai lần mức quy định</w:t>
            </w:r>
            <w:r>
              <w:t xml:space="preserve"> trên</w:t>
            </w:r>
          </w:p>
        </w:tc>
      </w:tr>
      <w:tr w:rsidR="00962BF5" w:rsidTr="00962BF5">
        <w:tc>
          <w:tcPr>
            <w:tcW w:w="538" w:type="dxa"/>
            <w:vMerge w:val="restart"/>
            <w:vAlign w:val="center"/>
          </w:tcPr>
          <w:p w:rsidR="00962BF5" w:rsidRDefault="00962BF5" w:rsidP="00897A43">
            <w:pPr>
              <w:spacing w:before="100" w:after="100"/>
              <w:jc w:val="center"/>
            </w:pPr>
            <w:r>
              <w:t>12</w:t>
            </w:r>
          </w:p>
        </w:tc>
        <w:tc>
          <w:tcPr>
            <w:tcW w:w="1205" w:type="dxa"/>
          </w:tcPr>
          <w:p w:rsidR="00962BF5" w:rsidRPr="00D845F4" w:rsidRDefault="00962BF5" w:rsidP="00897A43">
            <w:pPr>
              <w:spacing w:before="100" w:after="100"/>
              <w:ind w:left="69"/>
            </w:pPr>
          </w:p>
        </w:tc>
        <w:tc>
          <w:tcPr>
            <w:tcW w:w="1377" w:type="dxa"/>
            <w:vMerge w:val="restart"/>
            <w:vAlign w:val="center"/>
          </w:tcPr>
          <w:p w:rsidR="00962BF5" w:rsidRPr="00D845F4" w:rsidRDefault="00962BF5" w:rsidP="00897A43">
            <w:pPr>
              <w:spacing w:before="100" w:after="100"/>
              <w:ind w:left="69"/>
            </w:pPr>
            <w:r w:rsidRPr="00D845F4">
              <w:t>Hành vi bán hàng hóa, cung ứng dịch vụ dưới giá thành toàn bộ</w:t>
            </w:r>
          </w:p>
        </w:tc>
        <w:tc>
          <w:tcPr>
            <w:tcW w:w="4424" w:type="dxa"/>
            <w:vAlign w:val="center"/>
          </w:tcPr>
          <w:p w:rsidR="00962BF5" w:rsidRDefault="00962BF5" w:rsidP="00897A43">
            <w:pPr>
              <w:spacing w:before="100" w:after="100"/>
              <w:ind w:left="69"/>
            </w:pPr>
            <w:r>
              <w:t>B</w:t>
            </w:r>
            <w:r w:rsidRPr="00D845F4">
              <w:t>án hàng hóa, cung ứng dịch vụ dưới giá thành toàn bộ dẫn đến hoặc có khả năng dẫn đến loại bỏ doanh nghiệp khác cùng kinh doanh loại hàng hóa, dịch vụ đó</w:t>
            </w:r>
          </w:p>
        </w:tc>
        <w:tc>
          <w:tcPr>
            <w:tcW w:w="1806" w:type="dxa"/>
            <w:vAlign w:val="center"/>
          </w:tcPr>
          <w:p w:rsidR="00962BF5" w:rsidRPr="00D845F4" w:rsidRDefault="00962BF5" w:rsidP="00897A43">
            <w:pPr>
              <w:spacing w:before="100" w:after="100"/>
              <w:ind w:left="69"/>
            </w:pPr>
            <w:r w:rsidRPr="00D845F4">
              <w:t>Phạt tiền từ 800.000.000 đồng đến 1.000.000.000 đồng</w:t>
            </w:r>
          </w:p>
        </w:tc>
      </w:tr>
      <w:tr w:rsidR="00962BF5" w:rsidTr="00962BF5">
        <w:tc>
          <w:tcPr>
            <w:tcW w:w="538" w:type="dxa"/>
            <w:vMerge/>
            <w:vAlign w:val="center"/>
          </w:tcPr>
          <w:p w:rsidR="00962BF5" w:rsidRDefault="00962BF5" w:rsidP="00897A43">
            <w:pPr>
              <w:spacing w:before="100" w:after="100"/>
              <w:jc w:val="center"/>
            </w:pPr>
          </w:p>
        </w:tc>
        <w:tc>
          <w:tcPr>
            <w:tcW w:w="1205" w:type="dxa"/>
          </w:tcPr>
          <w:p w:rsidR="00962BF5" w:rsidRPr="00D845F4" w:rsidRDefault="00962BF5" w:rsidP="00897A43">
            <w:pPr>
              <w:spacing w:before="100" w:after="100"/>
              <w:ind w:left="69"/>
            </w:pPr>
          </w:p>
        </w:tc>
        <w:tc>
          <w:tcPr>
            <w:tcW w:w="1377" w:type="dxa"/>
            <w:vMerge/>
            <w:vAlign w:val="center"/>
          </w:tcPr>
          <w:p w:rsidR="00962BF5" w:rsidRPr="00D845F4" w:rsidRDefault="00962BF5" w:rsidP="00897A43">
            <w:pPr>
              <w:spacing w:before="100" w:after="100"/>
              <w:ind w:left="69"/>
            </w:pPr>
          </w:p>
        </w:tc>
        <w:tc>
          <w:tcPr>
            <w:tcW w:w="4424" w:type="dxa"/>
            <w:vAlign w:val="center"/>
          </w:tcPr>
          <w:p w:rsidR="00962BF5" w:rsidRDefault="00962BF5" w:rsidP="00897A43">
            <w:pPr>
              <w:spacing w:before="100" w:after="100"/>
              <w:ind w:left="69"/>
            </w:pPr>
            <w:r>
              <w:t>T</w:t>
            </w:r>
            <w:r w:rsidRPr="00D845F4">
              <w:t>rong trường hợ</w:t>
            </w:r>
            <w:r>
              <w:t xml:space="preserve">p </w:t>
            </w:r>
            <w:r w:rsidRPr="00D845F4">
              <w:t xml:space="preserve">hành vi vi phạm </w:t>
            </w:r>
            <w:r>
              <w:t xml:space="preserve">nêu trên </w:t>
            </w:r>
            <w:r w:rsidRPr="00D845F4">
              <w:t>được thực hiện trên phạm vi từ hai tỉnh, thành phố trực thuộc trung ương trở lên</w:t>
            </w:r>
          </w:p>
        </w:tc>
        <w:tc>
          <w:tcPr>
            <w:tcW w:w="1806" w:type="dxa"/>
            <w:vAlign w:val="center"/>
          </w:tcPr>
          <w:p w:rsidR="00962BF5" w:rsidRPr="00D845F4" w:rsidRDefault="00962BF5" w:rsidP="00897A43">
            <w:pPr>
              <w:spacing w:before="100" w:after="100"/>
              <w:ind w:left="69"/>
            </w:pPr>
            <w:r w:rsidRPr="00D845F4">
              <w:t>Phạt tiền gấp hai lần mức quy định</w:t>
            </w:r>
            <w:r>
              <w:t xml:space="preserve"> trên</w:t>
            </w:r>
          </w:p>
        </w:tc>
      </w:tr>
    </w:tbl>
    <w:p w:rsidR="00230CE7" w:rsidRDefault="00230CE7"/>
    <w:p w:rsidR="00BA4CBE" w:rsidRDefault="00BA4CBE">
      <w:r>
        <w:lastRenderedPageBreak/>
        <w:t xml:space="preserve">Căn cứ pháp lý: </w:t>
      </w:r>
      <w:hyperlink r:id="rId4" w:history="1">
        <w:r w:rsidRPr="00BA4CBE">
          <w:rPr>
            <w:rStyle w:val="Hyperlink"/>
            <w:b/>
          </w:rPr>
          <w:t>Nghị định 75/2019/NĐ-CP</w:t>
        </w:r>
      </w:hyperlink>
      <w:r>
        <w:t xml:space="preserve"> </w:t>
      </w:r>
      <w:r w:rsidRPr="00BA4CBE">
        <w:t xml:space="preserve">quy định về xử phạt </w:t>
      </w:r>
      <w:proofErr w:type="gramStart"/>
      <w:r w:rsidRPr="00BA4CBE">
        <w:t>vi</w:t>
      </w:r>
      <w:proofErr w:type="gramEnd"/>
      <w:r w:rsidRPr="00BA4CBE">
        <w:t xml:space="preserve"> phạm hành chính trong lĩnh vực cạnh tranh</w:t>
      </w:r>
      <w:r>
        <w:t>.</w:t>
      </w:r>
    </w:p>
    <w:sectPr w:rsidR="00BA4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E7"/>
    <w:rsid w:val="00230CE7"/>
    <w:rsid w:val="00335558"/>
    <w:rsid w:val="00390D41"/>
    <w:rsid w:val="006954AE"/>
    <w:rsid w:val="00897A43"/>
    <w:rsid w:val="00962BF5"/>
    <w:rsid w:val="00BA4CBE"/>
    <w:rsid w:val="00BB0500"/>
    <w:rsid w:val="00D513C8"/>
    <w:rsid w:val="00D845F4"/>
    <w:rsid w:val="00F5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A88FE-7644-425E-9108-E87CE166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4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75-2019-nd-cp-xu-phat-vi-pham-hanh-chinh-trong-linh-vuc-canh-tranh-67c3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2020-05-12T03:50:00Z</dcterms:created>
  <dcterms:modified xsi:type="dcterms:W3CDTF">2020-05-12T03:50:00Z</dcterms:modified>
</cp:coreProperties>
</file>