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1F52F2" w:rsidP="00930AA5">
      <w:pPr>
        <w:jc w:val="center"/>
        <w:rPr>
          <w:b/>
        </w:rPr>
      </w:pPr>
      <w:r>
        <w:rPr>
          <w:b/>
        </w:rPr>
        <w:t>Tổng hợp m</w:t>
      </w:r>
      <w:r w:rsidR="00C02284" w:rsidRPr="00930AA5">
        <w:rPr>
          <w:b/>
        </w:rPr>
        <w:t xml:space="preserve">ức phạt tiền các </w:t>
      </w:r>
      <w:proofErr w:type="gramStart"/>
      <w:r w:rsidR="00C02284" w:rsidRPr="00930AA5">
        <w:rPr>
          <w:b/>
        </w:rPr>
        <w:t>vi</w:t>
      </w:r>
      <w:proofErr w:type="gramEnd"/>
      <w:r w:rsidR="00C02284" w:rsidRPr="00930AA5">
        <w:rPr>
          <w:b/>
        </w:rPr>
        <w:t xml:space="preserve"> phạm </w:t>
      </w:r>
      <w:r>
        <w:rPr>
          <w:b/>
        </w:rPr>
        <w:t xml:space="preserve">về </w:t>
      </w:r>
      <w:r w:rsidR="00C02284" w:rsidRPr="00930AA5">
        <w:rPr>
          <w:b/>
        </w:rPr>
        <w:t>quy định chung trong lĩnh vực quảng cáo</w:t>
      </w:r>
    </w:p>
    <w:p w:rsidR="00930AA5" w:rsidRPr="001F52F2" w:rsidRDefault="00930AA5">
      <w:bookmarkStart w:id="0" w:name="_GoBack"/>
      <w:bookmarkEnd w:id="0"/>
    </w:p>
    <w:tbl>
      <w:tblPr>
        <w:tblStyle w:val="TableGrid"/>
        <w:tblW w:w="0" w:type="auto"/>
        <w:tblLook w:val="04A0" w:firstRow="1" w:lastRow="0" w:firstColumn="1" w:lastColumn="0" w:noHBand="0" w:noVBand="1"/>
      </w:tblPr>
      <w:tblGrid>
        <w:gridCol w:w="538"/>
        <w:gridCol w:w="1802"/>
        <w:gridCol w:w="5126"/>
        <w:gridCol w:w="1884"/>
      </w:tblGrid>
      <w:tr w:rsidR="00C02284" w:rsidRPr="00186E5B" w:rsidTr="00186E5B">
        <w:tc>
          <w:tcPr>
            <w:tcW w:w="538" w:type="dxa"/>
            <w:vAlign w:val="center"/>
          </w:tcPr>
          <w:p w:rsidR="00C02284" w:rsidRPr="00186E5B" w:rsidRDefault="00C02284" w:rsidP="00186E5B">
            <w:pPr>
              <w:spacing w:before="100" w:after="100"/>
              <w:jc w:val="center"/>
              <w:rPr>
                <w:b/>
              </w:rPr>
            </w:pPr>
            <w:r w:rsidRPr="00186E5B">
              <w:rPr>
                <w:b/>
              </w:rPr>
              <w:t>STT</w:t>
            </w:r>
          </w:p>
        </w:tc>
        <w:tc>
          <w:tcPr>
            <w:tcW w:w="1802" w:type="dxa"/>
            <w:vAlign w:val="center"/>
          </w:tcPr>
          <w:p w:rsidR="00C02284" w:rsidRPr="00186E5B" w:rsidRDefault="00C02284" w:rsidP="00186E5B">
            <w:pPr>
              <w:spacing w:before="100" w:after="100"/>
              <w:jc w:val="center"/>
              <w:rPr>
                <w:b/>
              </w:rPr>
            </w:pPr>
            <w:r w:rsidRPr="00186E5B">
              <w:rPr>
                <w:b/>
              </w:rPr>
              <w:t>Loại vi phạm</w:t>
            </w:r>
          </w:p>
        </w:tc>
        <w:tc>
          <w:tcPr>
            <w:tcW w:w="5126" w:type="dxa"/>
            <w:vAlign w:val="center"/>
          </w:tcPr>
          <w:p w:rsidR="00C02284" w:rsidRPr="00186E5B" w:rsidRDefault="00C02284" w:rsidP="00186E5B">
            <w:pPr>
              <w:spacing w:before="100" w:after="100"/>
              <w:jc w:val="center"/>
              <w:rPr>
                <w:b/>
              </w:rPr>
            </w:pPr>
            <w:r w:rsidRPr="00186E5B">
              <w:rPr>
                <w:b/>
              </w:rPr>
              <w:t>Hành vi vi phạm</w:t>
            </w:r>
          </w:p>
        </w:tc>
        <w:tc>
          <w:tcPr>
            <w:tcW w:w="1884" w:type="dxa"/>
            <w:vAlign w:val="center"/>
          </w:tcPr>
          <w:p w:rsidR="00C02284" w:rsidRPr="00186E5B" w:rsidRDefault="00C02284" w:rsidP="00186E5B">
            <w:pPr>
              <w:spacing w:before="100" w:after="100"/>
              <w:jc w:val="center"/>
              <w:rPr>
                <w:b/>
              </w:rPr>
            </w:pPr>
            <w:r w:rsidRPr="00186E5B">
              <w:rPr>
                <w:b/>
              </w:rPr>
              <w:t>Mức phạt tiền</w:t>
            </w:r>
          </w:p>
        </w:tc>
      </w:tr>
      <w:tr w:rsidR="00186E5B" w:rsidTr="00186E5B">
        <w:tc>
          <w:tcPr>
            <w:tcW w:w="538" w:type="dxa"/>
            <w:vMerge w:val="restart"/>
            <w:vAlign w:val="center"/>
          </w:tcPr>
          <w:p w:rsidR="00186E5B" w:rsidRDefault="00186E5B" w:rsidP="00186E5B">
            <w:pPr>
              <w:spacing w:before="100" w:after="100"/>
              <w:jc w:val="center"/>
            </w:pPr>
            <w:r>
              <w:t>1</w:t>
            </w:r>
          </w:p>
        </w:tc>
        <w:tc>
          <w:tcPr>
            <w:tcW w:w="1802" w:type="dxa"/>
            <w:vMerge w:val="restart"/>
            <w:vAlign w:val="center"/>
          </w:tcPr>
          <w:p w:rsidR="00186E5B" w:rsidRDefault="00186E5B" w:rsidP="0033508F">
            <w:pPr>
              <w:spacing w:before="100" w:after="100"/>
              <w:ind w:left="69"/>
            </w:pPr>
            <w:r w:rsidRPr="00C02284">
              <w:t>Vi phạm quy định về quảng cáo sản phẩm, hàng hóa, dịch vụ cấm quảng cáo</w:t>
            </w:r>
          </w:p>
        </w:tc>
        <w:tc>
          <w:tcPr>
            <w:tcW w:w="5126" w:type="dxa"/>
            <w:vAlign w:val="center"/>
          </w:tcPr>
          <w:p w:rsidR="00186E5B" w:rsidRDefault="00186E5B" w:rsidP="0033508F">
            <w:pPr>
              <w:spacing w:before="100" w:after="100"/>
              <w:ind w:left="69"/>
            </w:pPr>
            <w:r w:rsidRPr="00C02284">
              <w:t>Quảng cáo thuốc lá</w:t>
            </w:r>
          </w:p>
        </w:tc>
        <w:tc>
          <w:tcPr>
            <w:tcW w:w="1884" w:type="dxa"/>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rượu có nồng độ cồn từ 15 độ trở lên</w:t>
            </w:r>
          </w:p>
        </w:tc>
        <w:tc>
          <w:tcPr>
            <w:tcW w:w="1884" w:type="dxa"/>
            <w:vMerge w:val="restart"/>
            <w:vAlign w:val="center"/>
          </w:tcPr>
          <w:p w:rsidR="00186E5B" w:rsidRDefault="00186E5B" w:rsidP="0033508F">
            <w:pPr>
              <w:spacing w:before="100" w:after="100"/>
              <w:ind w:left="69"/>
            </w:pPr>
            <w:r w:rsidRPr="00C02284">
              <w:t>Phạt tiền từ 40.000.000 đồng đến 50.000.000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sản phẩm sữa thay thế sữa mẹ dùng cho trẻ dưới 24 tháng tuổi, sản phẩm dinh dưỡng bổ sung dùng cho trẻ dưới 6 tháng tuổi, bình bú và vú ngậm nhân tạo</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thuốc kê đơn; thuốc không kê đơn nhưng được cơ quan nhà nước có thẩm quyền khuyến cáo hạn chế sử dụng hoặc sử dụng có sự giám sát của thầy thuốc</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các sản phẩm, hàng hóa, dịch vụ cấm quảng cáo khác</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hàng hóa, dịch vụ cấm kinh doanh theo quy định</w:t>
            </w:r>
          </w:p>
        </w:tc>
        <w:tc>
          <w:tcPr>
            <w:tcW w:w="1884" w:type="dxa"/>
            <w:vMerge w:val="restart"/>
            <w:vAlign w:val="center"/>
          </w:tcPr>
          <w:p w:rsidR="00186E5B" w:rsidRDefault="00186E5B" w:rsidP="0033508F">
            <w:pPr>
              <w:spacing w:before="100" w:after="100"/>
              <w:ind w:left="69"/>
            </w:pPr>
            <w:r w:rsidRPr="00C02284">
              <w:t>Phạt tiền từ 70.000.000 đồng đến 100.000.000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các loại sản phẩm, hàng hóa có tính chất kích dục</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súng săn và đạn súng săn, vũ khí thể thao và các loại sản phẩm, hàng hóa có tính chất kích động bạo lực</w:t>
            </w:r>
          </w:p>
        </w:tc>
        <w:tc>
          <w:tcPr>
            <w:tcW w:w="1884" w:type="dxa"/>
            <w:vMerge/>
            <w:vAlign w:val="center"/>
          </w:tcPr>
          <w:p w:rsidR="00186E5B" w:rsidRDefault="00186E5B" w:rsidP="0033508F">
            <w:pPr>
              <w:spacing w:before="100" w:after="100"/>
              <w:ind w:left="69"/>
            </w:pPr>
          </w:p>
        </w:tc>
      </w:tr>
      <w:tr w:rsidR="00186E5B" w:rsidTr="00186E5B">
        <w:tc>
          <w:tcPr>
            <w:tcW w:w="538" w:type="dxa"/>
            <w:vMerge w:val="restart"/>
            <w:vAlign w:val="center"/>
          </w:tcPr>
          <w:p w:rsidR="00186E5B" w:rsidRDefault="00186E5B" w:rsidP="00186E5B">
            <w:pPr>
              <w:spacing w:before="100" w:after="100"/>
              <w:jc w:val="center"/>
            </w:pPr>
            <w:r>
              <w:t>2</w:t>
            </w:r>
          </w:p>
        </w:tc>
        <w:tc>
          <w:tcPr>
            <w:tcW w:w="1802" w:type="dxa"/>
            <w:vMerge w:val="restart"/>
            <w:vAlign w:val="center"/>
          </w:tcPr>
          <w:p w:rsidR="00186E5B" w:rsidRDefault="00186E5B" w:rsidP="0033508F">
            <w:pPr>
              <w:spacing w:before="100" w:after="100"/>
              <w:ind w:left="69"/>
            </w:pPr>
            <w:r w:rsidRPr="00C02284">
              <w:t>Vi phạm quy định về hành vi cấm trong hoạt động quảng cáo</w:t>
            </w:r>
          </w:p>
        </w:tc>
        <w:tc>
          <w:tcPr>
            <w:tcW w:w="5126" w:type="dxa"/>
            <w:vAlign w:val="center"/>
          </w:tcPr>
          <w:p w:rsidR="00186E5B" w:rsidRDefault="00186E5B" w:rsidP="0033508F">
            <w:pPr>
              <w:spacing w:before="100" w:after="100"/>
              <w:ind w:left="69"/>
            </w:pPr>
            <w:r>
              <w:t>T</w:t>
            </w:r>
            <w:r w:rsidRPr="00C02284">
              <w:t>reo, đặt, dán, vẽ quảng cáo các sản phẩm, hàng hóa, dịch vụ trên cột điện, trụ điện, cột tín hiệu giao thông và cây xanh nơi công cộng</w:t>
            </w:r>
          </w:p>
        </w:tc>
        <w:tc>
          <w:tcPr>
            <w:tcW w:w="1884" w:type="dxa"/>
            <w:vAlign w:val="center"/>
          </w:tcPr>
          <w:p w:rsidR="00186E5B" w:rsidRDefault="00186E5B" w:rsidP="0033508F">
            <w:pPr>
              <w:spacing w:before="100" w:after="100"/>
              <w:ind w:left="69"/>
            </w:pPr>
            <w:r w:rsidRPr="00C02284">
              <w:t>Phạt tiền</w:t>
            </w:r>
            <w:r>
              <w:t xml:space="preserve"> từ </w:t>
            </w:r>
            <w:r w:rsidRPr="00C02284">
              <w:t>1.000.000 đồng đến 2.000.000 đồng đối với người treo, đặt, dán, vẽ quảng cáo các sản phẩm, hàng hóa, dịch vụ;</w:t>
            </w:r>
            <w:r>
              <w:t xml:space="preserve"> từ </w:t>
            </w:r>
            <w:r w:rsidRPr="00C02284">
              <w:t>5.000.000 đồng đến 10.000.000 đồng đối với người có sản phẩm, hàng hóa, dịch vụ quảng cáo</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sử dụng các từ ngữ “nhất”, “duy nhất”, “tốt nhất”, “số một” hoặc từ ngữ có ý nghĩa tương tự mà không có tài liệu hợp pháp chứng minh theo quy định</w:t>
            </w:r>
          </w:p>
        </w:tc>
        <w:tc>
          <w:tcPr>
            <w:tcW w:w="1884" w:type="dxa"/>
            <w:vMerge w:val="restart"/>
            <w:vAlign w:val="center"/>
          </w:tcPr>
          <w:p w:rsidR="00186E5B" w:rsidRDefault="00186E5B" w:rsidP="0033508F">
            <w:pPr>
              <w:spacing w:before="100" w:after="100"/>
              <w:ind w:left="69"/>
            </w:pPr>
            <w:r w:rsidRPr="00C02284">
              <w:t>Phạt tiền từ 10.000.000 đồng đến 20.000.000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làm ảnh hưởng đến mỹ quan, trật tự an toàn giao thông, an toàn xã hội, trừ trường hợp quy định tại khoản 1 Điề</w:t>
            </w:r>
            <w:r>
              <w:t>u 51</w:t>
            </w:r>
            <w:r w:rsidRPr="00C02284">
              <w:t>, khoản 1 và khoản 3 Điều 61, điểm a khoản 2 Điều 63, khoản 3 Điều 66 Nghị đị</w:t>
            </w:r>
            <w:r>
              <w:t>nh 158/2013/NĐ-CP</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tính chất kỳ thị dân tộc, phân biệt chủng tộc; xâm phạm tự do tín ngưỡng, tôn giáo; định kiến về giới; định kiến về người khuyết tật</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Ép buộc cơ quan, tổ chức, cá nhân thực hiện quảng cáo hoặc tiếp nhận quảng cáo trái ý muốn</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sản phẩm, hàng hóa, dịch vụ vi phạm quyền sở hữu trí tuệ theo quy định</w:t>
            </w:r>
          </w:p>
        </w:tc>
        <w:tc>
          <w:tcPr>
            <w:tcW w:w="1884" w:type="dxa"/>
            <w:vMerge w:val="restart"/>
            <w:vAlign w:val="center"/>
          </w:tcPr>
          <w:p w:rsidR="00186E5B" w:rsidRDefault="00186E5B" w:rsidP="0033508F">
            <w:pPr>
              <w:spacing w:before="100" w:after="100"/>
              <w:ind w:left="69"/>
            </w:pPr>
            <w:r w:rsidRPr="00C02284">
              <w:t>Phạt tiền từ 20.000.000 đồng đến 30.000.000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sử dụng hình ảnh, lời nói, chữ viết của cá nhân khi chưa được cá nhân đó đồng ý, trừ trường hợp được pháp luật cho phép</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Lợi dụng quảng cáo để xúc phạm uy tín của tổ chức, danh dự và nhân phẩm của cá nhân</w:t>
            </w:r>
          </w:p>
        </w:tc>
        <w:tc>
          <w:tcPr>
            <w:tcW w:w="1884" w:type="dxa"/>
            <w:vMerge w:val="restart"/>
            <w:vAlign w:val="center"/>
          </w:tcPr>
          <w:p w:rsidR="00186E5B" w:rsidRDefault="00186E5B" w:rsidP="0033508F">
            <w:pPr>
              <w:spacing w:before="100" w:after="100"/>
              <w:ind w:left="69"/>
            </w:pPr>
            <w:r w:rsidRPr="00C02284">
              <w:t>Phạt tiền từ 30.000.000 đồng đến 40.000.000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nội dung so sánh trực tiếp về giá cả, chất lượng, hiệu quả sử dụng sản phẩm, hàng hóa, dịch vụ của mình với giá cả, chất lượng, hiệu quả sử dụng sản phẩm, hàng hóa, dịch vụ cùng loại của tổ chức, cá nhân khác</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nội dung tạo cho trẻ em có suy nghĩ, lời nói, hành động trái với đạo đức, thuần phong mỹ tục; gây ảnh hưởng xấu đến sức khỏe, an toàn hoặc sự phát triển bình thường của trẻ em</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Quảng cáo có nội dung trái với truyền thống lịch sử, văn hóa, đạo đức, thuần phong mỹ tục Việt Nam</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C02284">
              <w:t xml:space="preserve">Quảng cáo sai sự thật, không đúng quy cách, chất lượng, công dụng, nhãn hiệu, kiểu dáng, chủng loại, bao bì, xuất xứ, chỉ dẫn địa lý, phương thức phục vụ, thời hạn sử dụng, thời hạn bảo quản, bảo hành của hàng hóa, dịch vụ, trừ trường hợp quy định tại Điểm d Khoản 3 Điều 68, Điểm c Khoản 3 Điều 69, Điểm a </w:t>
            </w:r>
            <w:r w:rsidRPr="00C02284">
              <w:lastRenderedPageBreak/>
              <w:t xml:space="preserve">Khoản 2 Điều 72, Điểm b Khoản 1 Điều 75 và Khoản 1 Điều 78 Nghị định </w:t>
            </w:r>
            <w:r>
              <w:t>158/2013/NĐ-CP</w:t>
            </w:r>
          </w:p>
        </w:tc>
        <w:tc>
          <w:tcPr>
            <w:tcW w:w="1884" w:type="dxa"/>
            <w:vMerge w:val="restart"/>
            <w:vAlign w:val="center"/>
          </w:tcPr>
          <w:p w:rsidR="00186E5B" w:rsidRDefault="00186E5B" w:rsidP="0033508F">
            <w:pPr>
              <w:spacing w:before="100" w:after="100"/>
              <w:ind w:left="69"/>
            </w:pPr>
            <w:r w:rsidRPr="006C14B4">
              <w:lastRenderedPageBreak/>
              <w:t>Phạt tiền từ 50.000.000 đồng đến 70.000.000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 xml:space="preserve">Quảng cáo lừa dối, gây nhầm lẫn cho công chúng, người tiêu dùng, khách hàng về tổ chức, cá nhân, sản phẩm, hàng hóa, dịch vụ được quảng cáo với tổ chức, cá nhân, sản phẩm, hàng hóa, dịch vụ khác hoặc lừa dối, gây nhầm lẫn về tính năng, tác dụng của sản phẩm, hàng hóa, dịch vụ được quảng cáo, trừ trường hợp quy định tại Khoản 4 Điều 68, Điểm a Khoản 3 Điều 69 và Khoản 4 Điều 70 Nghị định </w:t>
            </w:r>
            <w:r>
              <w:t>158/2013/NĐ-CP</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Quảng cáo gây thiệt hại cho người sản xuất, kinh doanh và người tiếp nhận quảng cáo</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Sử dụng hình ảnh bản đồ Việt Nam trong quảng cáo mà không thể hiện đầy đủ chủ quyền quốc gia</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Sử dụng hình ảnh đồng tiền Việt Nam trong quảng cáo</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 xml:space="preserve">Quảng cáo gây ảnh hưởng xấu đến sự tôn nghiêm đối với Quốc kỳ, Quốc huy, Quốc ca, Đảng kỳ, trừ trường hợp quy định tại Điểm b Khoản 2 Điều 63 Nghị định </w:t>
            </w:r>
            <w:r>
              <w:t>158/2013/NĐ-CP</w:t>
            </w:r>
          </w:p>
        </w:tc>
        <w:tc>
          <w:tcPr>
            <w:tcW w:w="1884" w:type="dxa"/>
            <w:vMerge w:val="restart"/>
            <w:vAlign w:val="center"/>
          </w:tcPr>
          <w:p w:rsidR="00186E5B" w:rsidRDefault="00186E5B" w:rsidP="0033508F">
            <w:pPr>
              <w:spacing w:before="100" w:after="100"/>
              <w:ind w:left="69"/>
            </w:pPr>
            <w:r w:rsidRPr="006C14B4">
              <w:t>Phạt tiền từ 70.000.000 đồng đến 90.000.000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6C14B4">
              <w:t xml:space="preserve">Quảng cáo gây ảnh hưởng xấu đến sự tôn nghiêm đối với anh hùng dân tộc, danh nhân văn hóa, lãnh tụ, lãnh đạo Đảng, Nhà nước, trừ trường hợp quy định tại Điểm b Khoản 2 Điều 63 Nghị định </w:t>
            </w:r>
            <w:r>
              <w:t>158/2013/NĐ-CP</w:t>
            </w:r>
          </w:p>
        </w:tc>
        <w:tc>
          <w:tcPr>
            <w:tcW w:w="1884" w:type="dxa"/>
            <w:vMerge/>
            <w:vAlign w:val="center"/>
          </w:tcPr>
          <w:p w:rsidR="00186E5B" w:rsidRDefault="00186E5B" w:rsidP="0033508F">
            <w:pPr>
              <w:spacing w:before="100" w:after="100"/>
              <w:ind w:left="69"/>
            </w:pPr>
          </w:p>
        </w:tc>
      </w:tr>
      <w:tr w:rsidR="00186E5B" w:rsidTr="00186E5B">
        <w:tc>
          <w:tcPr>
            <w:tcW w:w="538" w:type="dxa"/>
            <w:vMerge w:val="restart"/>
            <w:vAlign w:val="center"/>
          </w:tcPr>
          <w:p w:rsidR="00186E5B" w:rsidRDefault="00186E5B" w:rsidP="00186E5B">
            <w:pPr>
              <w:spacing w:before="100" w:after="100"/>
              <w:jc w:val="center"/>
            </w:pPr>
            <w:r>
              <w:t>3</w:t>
            </w:r>
          </w:p>
        </w:tc>
        <w:tc>
          <w:tcPr>
            <w:tcW w:w="1802" w:type="dxa"/>
            <w:vMerge w:val="restart"/>
            <w:vAlign w:val="center"/>
          </w:tcPr>
          <w:p w:rsidR="00186E5B" w:rsidRDefault="00186E5B" w:rsidP="0033508F">
            <w:pPr>
              <w:spacing w:before="100" w:after="100"/>
              <w:ind w:left="69"/>
            </w:pPr>
            <w:r w:rsidRPr="006C14B4">
              <w:t>Vi phạm các quy định về tiếng nói, chữ viết trong quảng cáo</w:t>
            </w:r>
          </w:p>
        </w:tc>
        <w:tc>
          <w:tcPr>
            <w:tcW w:w="5126" w:type="dxa"/>
            <w:vAlign w:val="center"/>
          </w:tcPr>
          <w:p w:rsidR="00186E5B" w:rsidRDefault="00186E5B" w:rsidP="0033508F">
            <w:pPr>
              <w:spacing w:before="100" w:after="100"/>
              <w:ind w:left="69"/>
            </w:pPr>
            <w:r w:rsidRPr="00930AA5">
              <w:t>Quảng cáo sản phẩm, hàng hóa, dịch vụ mà không thể hiện bằng tiếng Việt, trừ những trường hợp nhãn hiệu hàng hóa, khẩu hiệu, thương hiệu, tên riêng bằng tiếng nước ngoài; các từ ngữ đã được quốc tế hóa không thể thay thế bằng tiếng Việt; sách, báo, trang thông tin điện tử và các ấn phẩm được phép xuất bản bằng tiếng dân tộc thiểu số Việt Nam, tiếng nước ngoài; chương trình phát thanh, truyền hình bằng tiếng dân tộc thiểu số Việt Nam, tiếng nước ngoài</w:t>
            </w:r>
          </w:p>
        </w:tc>
        <w:tc>
          <w:tcPr>
            <w:tcW w:w="1884" w:type="dxa"/>
            <w:vMerge w:val="restart"/>
            <w:vAlign w:val="center"/>
          </w:tcPr>
          <w:p w:rsidR="00186E5B" w:rsidRDefault="00186E5B" w:rsidP="0033508F">
            <w:pPr>
              <w:spacing w:before="100" w:after="100"/>
              <w:ind w:left="69"/>
            </w:pPr>
            <w:r w:rsidRPr="00930AA5">
              <w:t>Phạt tiền từ 5.000.000 đồng đến 10.000.000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930AA5">
              <w:t xml:space="preserve">Quảng cáo sản phẩm, hàng hóa, dịch vụ mà thể hiện khổ chữ nước ngoài vượt quá ba phần tư khổ chữ tiếng Việt và không đặt bên dưới chữ tiếng Việt trong trường hợp trên cùng một sản phẩm quảng cáo có sử dụng cả tiếng Việt và tiếng nước ngoài, trừ trường </w:t>
            </w:r>
            <w:r w:rsidRPr="00930AA5">
              <w:lastRenderedPageBreak/>
              <w:t xml:space="preserve">hợp quy định tại các điểm a, b, c và d Khoản 2 Điều 66 Nghị định </w:t>
            </w:r>
            <w:r>
              <w:t>158/2013/NĐ-CP</w:t>
            </w:r>
          </w:p>
        </w:tc>
        <w:tc>
          <w:tcPr>
            <w:tcW w:w="1884" w:type="dxa"/>
            <w:vMerge/>
            <w:vAlign w:val="center"/>
          </w:tcPr>
          <w:p w:rsidR="00186E5B" w:rsidRDefault="00186E5B" w:rsidP="0033508F">
            <w:pPr>
              <w:spacing w:before="100" w:after="100"/>
              <w:ind w:left="69"/>
            </w:pP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930AA5">
              <w:t xml:space="preserve">Quảng cáo sản phẩm, hàng hóa, dịch vụ mà không đọc tiếng Việt trước tiếng nước ngoài trong trường hợp trên cùng một sản phẩm quảng cáo có sử dụng cả tiếng Việt và tiếng nước ngoài khi phát trên đài phát thanh, truyền hình hoặc trên các phương tiện nghe nhìn, trừ trường hợp quy định tại Điểm a Khoản 2 Điều 68, Khoản 2 Điều 69 và Khoản 1 Điều 70 Nghị định </w:t>
            </w:r>
            <w:r>
              <w:t>158/2013/NĐ-CP</w:t>
            </w:r>
          </w:p>
        </w:tc>
        <w:tc>
          <w:tcPr>
            <w:tcW w:w="1884" w:type="dxa"/>
            <w:vMerge/>
            <w:vAlign w:val="center"/>
          </w:tcPr>
          <w:p w:rsidR="00186E5B" w:rsidRDefault="00186E5B" w:rsidP="0033508F">
            <w:pPr>
              <w:spacing w:before="100" w:after="100"/>
              <w:ind w:left="69"/>
            </w:pPr>
          </w:p>
        </w:tc>
      </w:tr>
      <w:tr w:rsidR="00186E5B" w:rsidTr="00186E5B">
        <w:tc>
          <w:tcPr>
            <w:tcW w:w="538" w:type="dxa"/>
            <w:vMerge w:val="restart"/>
            <w:vAlign w:val="center"/>
          </w:tcPr>
          <w:p w:rsidR="00186E5B" w:rsidRDefault="00186E5B" w:rsidP="00186E5B">
            <w:pPr>
              <w:spacing w:before="100" w:after="100"/>
              <w:jc w:val="center"/>
            </w:pPr>
            <w:r>
              <w:t>4</w:t>
            </w:r>
          </w:p>
        </w:tc>
        <w:tc>
          <w:tcPr>
            <w:tcW w:w="1802" w:type="dxa"/>
            <w:vMerge w:val="restart"/>
            <w:vAlign w:val="center"/>
          </w:tcPr>
          <w:p w:rsidR="00186E5B" w:rsidRDefault="00186E5B" w:rsidP="0033508F">
            <w:pPr>
              <w:spacing w:before="100" w:after="100"/>
              <w:ind w:left="69"/>
            </w:pPr>
            <w:r w:rsidRPr="00930AA5">
              <w:t>Vi phạm các quy định về điều kiện quảng cáo</w:t>
            </w:r>
          </w:p>
        </w:tc>
        <w:tc>
          <w:tcPr>
            <w:tcW w:w="5126" w:type="dxa"/>
            <w:vAlign w:val="center"/>
          </w:tcPr>
          <w:p w:rsidR="00186E5B" w:rsidRDefault="00186E5B" w:rsidP="0033508F">
            <w:pPr>
              <w:spacing w:before="100" w:after="100"/>
              <w:ind w:left="69"/>
            </w:pPr>
            <w:r w:rsidRPr="00930AA5">
              <w:t xml:space="preserve">Không có các tài liệu chứng minh về sự hợp chuẩn, hợp quy theo quy định khi quảng cáo cho các loại sản phẩm, hàng hóa, dịch vụ, trừ trường hợp quy định tại Điểm d Khoản 3 Điều 68, Điểm b Khoản 3 Điều 69, Điểm a Khoản 2 Điều 70 Nghị định </w:t>
            </w:r>
            <w:r>
              <w:t>158/2013/NĐ-CP</w:t>
            </w:r>
          </w:p>
        </w:tc>
        <w:tc>
          <w:tcPr>
            <w:tcW w:w="1884" w:type="dxa"/>
            <w:vMerge w:val="restart"/>
            <w:vAlign w:val="center"/>
          </w:tcPr>
          <w:p w:rsidR="00186E5B" w:rsidRDefault="00186E5B" w:rsidP="0033508F">
            <w:pPr>
              <w:spacing w:before="100" w:after="100"/>
              <w:ind w:left="69"/>
            </w:pPr>
            <w:r w:rsidRPr="00930AA5">
              <w:t>Phạt tiền từ 10.000.000 đồng đến 15.000.000 đồng</w:t>
            </w:r>
          </w:p>
        </w:tc>
      </w:tr>
      <w:tr w:rsidR="00186E5B" w:rsidTr="00186E5B">
        <w:tc>
          <w:tcPr>
            <w:tcW w:w="538" w:type="dxa"/>
            <w:vMerge/>
            <w:vAlign w:val="center"/>
          </w:tcPr>
          <w:p w:rsidR="00186E5B" w:rsidRDefault="00186E5B" w:rsidP="00186E5B">
            <w:pPr>
              <w:spacing w:before="100" w:after="100"/>
              <w:jc w:val="center"/>
            </w:pPr>
          </w:p>
        </w:tc>
        <w:tc>
          <w:tcPr>
            <w:tcW w:w="1802" w:type="dxa"/>
            <w:vMerge/>
            <w:vAlign w:val="center"/>
          </w:tcPr>
          <w:p w:rsidR="00186E5B" w:rsidRDefault="00186E5B" w:rsidP="0033508F">
            <w:pPr>
              <w:spacing w:before="100" w:after="100"/>
              <w:ind w:left="69"/>
            </w:pPr>
          </w:p>
        </w:tc>
        <w:tc>
          <w:tcPr>
            <w:tcW w:w="5126" w:type="dxa"/>
            <w:vAlign w:val="center"/>
          </w:tcPr>
          <w:p w:rsidR="00186E5B" w:rsidRDefault="00186E5B" w:rsidP="0033508F">
            <w:pPr>
              <w:spacing w:before="100" w:after="100"/>
              <w:ind w:left="69"/>
            </w:pPr>
            <w:r w:rsidRPr="00930AA5">
              <w:t>Không có Giấy chứng nhận quyền sở hữu hoặc quyền sử dụng theo quy định khi quảng cáo tài sản</w:t>
            </w:r>
          </w:p>
        </w:tc>
        <w:tc>
          <w:tcPr>
            <w:tcW w:w="1884" w:type="dxa"/>
            <w:vMerge/>
            <w:vAlign w:val="center"/>
          </w:tcPr>
          <w:p w:rsidR="00186E5B" w:rsidRDefault="00186E5B" w:rsidP="0033508F">
            <w:pPr>
              <w:spacing w:before="100" w:after="100"/>
              <w:ind w:left="69"/>
            </w:pPr>
          </w:p>
        </w:tc>
      </w:tr>
      <w:tr w:rsidR="00C02284" w:rsidTr="00186E5B">
        <w:tc>
          <w:tcPr>
            <w:tcW w:w="538" w:type="dxa"/>
            <w:vAlign w:val="center"/>
          </w:tcPr>
          <w:p w:rsidR="00C02284" w:rsidRDefault="00186E5B" w:rsidP="00186E5B">
            <w:pPr>
              <w:spacing w:before="100" w:after="100"/>
              <w:jc w:val="center"/>
            </w:pPr>
            <w:r>
              <w:t>5</w:t>
            </w:r>
          </w:p>
        </w:tc>
        <w:tc>
          <w:tcPr>
            <w:tcW w:w="1802" w:type="dxa"/>
            <w:vAlign w:val="center"/>
          </w:tcPr>
          <w:p w:rsidR="00C02284" w:rsidRDefault="00930AA5" w:rsidP="0033508F">
            <w:pPr>
              <w:spacing w:before="100" w:after="100"/>
              <w:ind w:left="69"/>
            </w:pPr>
            <w:r w:rsidRPr="00930AA5">
              <w:t>Vi phạm các quy định về thuê người kinh doanh dịch vụ quảng cáo</w:t>
            </w:r>
          </w:p>
        </w:tc>
        <w:tc>
          <w:tcPr>
            <w:tcW w:w="5126" w:type="dxa"/>
            <w:vAlign w:val="center"/>
          </w:tcPr>
          <w:p w:rsidR="00C02284" w:rsidRDefault="00930AA5" w:rsidP="0033508F">
            <w:pPr>
              <w:spacing w:before="100" w:after="100"/>
              <w:ind w:left="69"/>
            </w:pPr>
            <w:r>
              <w:t>Q</w:t>
            </w:r>
            <w:r w:rsidRPr="00930AA5">
              <w:t>uảng cáo về sản phẩm, hàng hóa, dịch vụ và hoạt động của tổ chức, cá nhân nước ngoài không hoạt động tại Việt Nam mà không thuê người kinh doanh dịch vụ quảng cáo của Việt Nam thực hiện</w:t>
            </w:r>
          </w:p>
        </w:tc>
        <w:tc>
          <w:tcPr>
            <w:tcW w:w="1884" w:type="dxa"/>
            <w:vAlign w:val="center"/>
          </w:tcPr>
          <w:p w:rsidR="00C02284" w:rsidRDefault="00930AA5" w:rsidP="0033508F">
            <w:pPr>
              <w:spacing w:before="100" w:after="100"/>
              <w:ind w:left="69"/>
            </w:pPr>
            <w:r w:rsidRPr="00930AA5">
              <w:t>Phạt tiền từ 30.000.000 đồng đến 50.000.000 đồng</w:t>
            </w:r>
          </w:p>
        </w:tc>
      </w:tr>
    </w:tbl>
    <w:p w:rsidR="00C02284" w:rsidRDefault="00C02284"/>
    <w:p w:rsidR="00186E5B" w:rsidRPr="001F52F2" w:rsidRDefault="00186E5B">
      <w:pPr>
        <w:rPr>
          <w:b/>
        </w:rPr>
      </w:pPr>
      <w:r w:rsidRPr="001F52F2">
        <w:rPr>
          <w:b/>
          <w:u w:val="single"/>
        </w:rPr>
        <w:t>Căn cứ</w:t>
      </w:r>
      <w:r w:rsidR="001F52F2" w:rsidRPr="001F52F2">
        <w:rPr>
          <w:b/>
          <w:u w:val="single"/>
        </w:rPr>
        <w:t xml:space="preserve"> pháp lý</w:t>
      </w:r>
      <w:r w:rsidRPr="001F52F2">
        <w:rPr>
          <w:b/>
        </w:rPr>
        <w:t xml:space="preserve">: </w:t>
      </w:r>
    </w:p>
    <w:p w:rsidR="00186E5B" w:rsidRDefault="00186E5B">
      <w:r>
        <w:t xml:space="preserve">- </w:t>
      </w:r>
      <w:hyperlink r:id="rId4" w:history="1">
        <w:r w:rsidRPr="00186E5B">
          <w:rPr>
            <w:rStyle w:val="Hyperlink"/>
            <w:b/>
          </w:rPr>
          <w:t>Nghị định 158/2013/NĐ-CP</w:t>
        </w:r>
      </w:hyperlink>
      <w:r>
        <w:t xml:space="preserve"> </w:t>
      </w:r>
      <w:r w:rsidRPr="00186E5B">
        <w:t xml:space="preserve">quy định xử phạt </w:t>
      </w:r>
      <w:proofErr w:type="gramStart"/>
      <w:r w:rsidRPr="00186E5B">
        <w:t>vi</w:t>
      </w:r>
      <w:proofErr w:type="gramEnd"/>
      <w:r w:rsidRPr="00186E5B">
        <w:t xml:space="preserve"> phạm hành chính trong lĩnh vực văn hóa, thể thao, du lịch và quảng cáo</w:t>
      </w:r>
      <w:r>
        <w:t>.</w:t>
      </w:r>
    </w:p>
    <w:p w:rsidR="00186E5B" w:rsidRDefault="00186E5B">
      <w:r>
        <w:t xml:space="preserve">- </w:t>
      </w:r>
      <w:hyperlink r:id="rId5" w:history="1">
        <w:r w:rsidRPr="00186E5B">
          <w:rPr>
            <w:rStyle w:val="Hyperlink"/>
          </w:rPr>
          <w:t>Nghị định 28/2017/NĐ-CP</w:t>
        </w:r>
      </w:hyperlink>
      <w:r>
        <w:t xml:space="preserve"> </w:t>
      </w:r>
      <w:r w:rsidRPr="00186E5B">
        <w:t xml:space="preserve">sửa đổi, bổ sung một số điều của Nghị định 131/2013/NĐ-CP quy định xử phạt </w:t>
      </w:r>
      <w:proofErr w:type="gramStart"/>
      <w:r w:rsidRPr="00186E5B">
        <w:t>vi</w:t>
      </w:r>
      <w:proofErr w:type="gramEnd"/>
      <w:r w:rsidRPr="00186E5B">
        <w:t xml:space="preserve"> phạm hành chính về quyền tác giả, quyền liên quan và Nghị định 158/2013/NĐ-CP quy định xử phạt vi phạm hành chính trong lĩnh vực văn hóa, thể thao, du lịch và quảng cáo</w:t>
      </w:r>
      <w:r>
        <w:t>.</w:t>
      </w:r>
    </w:p>
    <w:sectPr w:rsidR="00186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84"/>
    <w:rsid w:val="00186E5B"/>
    <w:rsid w:val="001F52F2"/>
    <w:rsid w:val="0033508F"/>
    <w:rsid w:val="00335558"/>
    <w:rsid w:val="006C14B4"/>
    <w:rsid w:val="00930AA5"/>
    <w:rsid w:val="00937D96"/>
    <w:rsid w:val="00BB0500"/>
    <w:rsid w:val="00C0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D9FB7-2991-467B-BC1A-E5B32E5B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E5B"/>
    <w:pPr>
      <w:ind w:left="720"/>
      <w:contextualSpacing/>
    </w:pPr>
  </w:style>
  <w:style w:type="character" w:styleId="Hyperlink">
    <w:name w:val="Hyperlink"/>
    <w:basedOn w:val="DefaultParagraphFont"/>
    <w:uiPriority w:val="99"/>
    <w:unhideWhenUsed/>
    <w:rsid w:val="00186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28-2017-nd-cp-sua-doi-nghi-dinh-131-2013-nd-cp-va-nghi-dinh-158-2013-nd-cp-4e400.html" TargetMode="External"/><Relationship Id="rId4" Type="http://schemas.openxmlformats.org/officeDocument/2006/relationships/hyperlink" Target="https://thukyluat.vn/vb/nghi-dinh-158-2013-nd-cp-xu-phat-vphc-van-hoa-the-thao-du-lich-quang-cao-340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2020-05-12T02:53:00Z</dcterms:created>
  <dcterms:modified xsi:type="dcterms:W3CDTF">2020-05-12T02:53:00Z</dcterms:modified>
</cp:coreProperties>
</file>