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Default="00965F46" w:rsidP="0043526B">
      <w:pPr>
        <w:jc w:val="center"/>
      </w:pPr>
      <w:r>
        <w:t xml:space="preserve">Tổng hợp mức phạt tiền các hành </w:t>
      </w:r>
      <w:proofErr w:type="gramStart"/>
      <w:r>
        <w:t>vi</w:t>
      </w:r>
      <w:proofErr w:type="gramEnd"/>
      <w:r>
        <w:t xml:space="preserve"> vi phạm v</w:t>
      </w:r>
      <w:bookmarkStart w:id="0" w:name="_GoBack"/>
      <w:bookmarkEnd w:id="0"/>
      <w:r>
        <w:t xml:space="preserve">ề bảo hiểm xã hội </w:t>
      </w:r>
      <w:r w:rsidR="00501518">
        <w:t>từ 15/4/2020</w:t>
      </w:r>
    </w:p>
    <w:p w:rsidR="009247B1" w:rsidRDefault="009247B1"/>
    <w:tbl>
      <w:tblPr>
        <w:tblStyle w:val="TableGrid"/>
        <w:tblW w:w="0" w:type="auto"/>
        <w:tblLook w:val="04A0" w:firstRow="1" w:lastRow="0" w:firstColumn="1" w:lastColumn="0" w:noHBand="0" w:noVBand="1"/>
      </w:tblPr>
      <w:tblGrid>
        <w:gridCol w:w="625"/>
        <w:gridCol w:w="1440"/>
        <w:gridCol w:w="5310"/>
        <w:gridCol w:w="1975"/>
      </w:tblGrid>
      <w:tr w:rsidR="007848E1" w:rsidRPr="00501518" w:rsidTr="00AA3950">
        <w:tc>
          <w:tcPr>
            <w:tcW w:w="625" w:type="dxa"/>
            <w:vAlign w:val="center"/>
          </w:tcPr>
          <w:p w:rsidR="007848E1" w:rsidRPr="00501518" w:rsidRDefault="007848E1" w:rsidP="00AA3950">
            <w:pPr>
              <w:spacing w:before="100" w:after="100"/>
              <w:jc w:val="center"/>
              <w:rPr>
                <w:b/>
              </w:rPr>
            </w:pPr>
            <w:r w:rsidRPr="00501518">
              <w:rPr>
                <w:b/>
              </w:rPr>
              <w:t>STT</w:t>
            </w:r>
          </w:p>
        </w:tc>
        <w:tc>
          <w:tcPr>
            <w:tcW w:w="1440" w:type="dxa"/>
            <w:vAlign w:val="center"/>
          </w:tcPr>
          <w:p w:rsidR="007848E1" w:rsidRPr="00501518" w:rsidRDefault="007848E1" w:rsidP="00AA3950">
            <w:pPr>
              <w:spacing w:before="100" w:after="100"/>
              <w:jc w:val="center"/>
              <w:rPr>
                <w:b/>
              </w:rPr>
            </w:pPr>
            <w:r w:rsidRPr="00501518">
              <w:rPr>
                <w:b/>
              </w:rPr>
              <w:t>Loại vi phạm</w:t>
            </w:r>
          </w:p>
        </w:tc>
        <w:tc>
          <w:tcPr>
            <w:tcW w:w="5310" w:type="dxa"/>
            <w:vAlign w:val="center"/>
          </w:tcPr>
          <w:p w:rsidR="007848E1" w:rsidRPr="00501518" w:rsidRDefault="007848E1" w:rsidP="00AA3950">
            <w:pPr>
              <w:spacing w:before="100" w:after="100"/>
              <w:jc w:val="center"/>
              <w:rPr>
                <w:b/>
              </w:rPr>
            </w:pPr>
            <w:r w:rsidRPr="00501518">
              <w:rPr>
                <w:b/>
              </w:rPr>
              <w:t>Hành vi vi phạm</w:t>
            </w:r>
          </w:p>
        </w:tc>
        <w:tc>
          <w:tcPr>
            <w:tcW w:w="1975" w:type="dxa"/>
            <w:vAlign w:val="center"/>
          </w:tcPr>
          <w:p w:rsidR="007848E1" w:rsidRPr="00501518" w:rsidRDefault="007848E1" w:rsidP="00AA3950">
            <w:pPr>
              <w:spacing w:before="100" w:after="100"/>
              <w:jc w:val="center"/>
              <w:rPr>
                <w:b/>
              </w:rPr>
            </w:pPr>
            <w:r w:rsidRPr="00501518">
              <w:rPr>
                <w:b/>
              </w:rPr>
              <w:t>Mức phạt</w:t>
            </w:r>
          </w:p>
        </w:tc>
      </w:tr>
      <w:tr w:rsidR="00AA3950" w:rsidTr="00AA3950">
        <w:tc>
          <w:tcPr>
            <w:tcW w:w="625" w:type="dxa"/>
            <w:vMerge w:val="restart"/>
            <w:vAlign w:val="center"/>
          </w:tcPr>
          <w:p w:rsidR="00AA3950" w:rsidRDefault="00AA3950" w:rsidP="00AA3950">
            <w:pPr>
              <w:spacing w:before="100" w:after="100"/>
              <w:jc w:val="center"/>
            </w:pPr>
            <w:r>
              <w:t>1</w:t>
            </w:r>
          </w:p>
        </w:tc>
        <w:tc>
          <w:tcPr>
            <w:tcW w:w="1440" w:type="dxa"/>
            <w:vMerge w:val="restart"/>
            <w:vAlign w:val="center"/>
          </w:tcPr>
          <w:p w:rsidR="00AA3950" w:rsidRDefault="00AA3950" w:rsidP="00AA3950">
            <w:pPr>
              <w:spacing w:before="100" w:after="100"/>
              <w:ind w:left="72"/>
            </w:pPr>
            <w:r w:rsidRPr="007848E1">
              <w:t>Vi phạm quy định về đóng bảo hiểm xã hội bắt buộc, bảo hiểm thất nghiệp</w:t>
            </w:r>
          </w:p>
        </w:tc>
        <w:tc>
          <w:tcPr>
            <w:tcW w:w="5310" w:type="dxa"/>
            <w:vAlign w:val="center"/>
          </w:tcPr>
          <w:p w:rsidR="00AA3950" w:rsidRDefault="00AA3950" w:rsidP="00AA3950">
            <w:pPr>
              <w:spacing w:before="100" w:after="100"/>
              <w:ind w:left="72"/>
            </w:pPr>
            <w:r>
              <w:t>N</w:t>
            </w:r>
            <w:r w:rsidRPr="007848E1">
              <w:t xml:space="preserve">gười lao động có hành vi </w:t>
            </w:r>
            <w:r>
              <w:t>t</w:t>
            </w:r>
            <w:r w:rsidRPr="007848E1">
              <w:t>hỏa thuận với người sử dụng lao động không tham gia bảo hiểm xã hội bắt buộc, bảo hiểm thất nghiệp, tham gia không đúng đối tượng hoặc tham gia không đúng mức quy định</w:t>
            </w:r>
          </w:p>
        </w:tc>
        <w:tc>
          <w:tcPr>
            <w:tcW w:w="1975" w:type="dxa"/>
            <w:vAlign w:val="center"/>
          </w:tcPr>
          <w:p w:rsidR="00AA3950" w:rsidRDefault="00AA3950" w:rsidP="00AA3950">
            <w:pPr>
              <w:spacing w:before="100" w:after="100"/>
              <w:ind w:left="72"/>
            </w:pPr>
            <w:r w:rsidRPr="007848E1">
              <w:t>Phạt tiền từ 500.000 đồng đến 1.000.000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h</w:t>
            </w:r>
            <w:r w:rsidRPr="007848E1">
              <w:t>ằng năm, không niêm yết công khai thông tin đóng bảo hiểm xã hội của người lao động do cơ quan bảo hiểm xã hội cung cấp theo quy định tại khoản 7 Điều 23 của Luật Bảo hiểm xã hội</w:t>
            </w:r>
          </w:p>
        </w:tc>
        <w:tc>
          <w:tcPr>
            <w:tcW w:w="1975" w:type="dxa"/>
            <w:vMerge w:val="restart"/>
            <w:vAlign w:val="center"/>
          </w:tcPr>
          <w:p w:rsidR="00AA3950" w:rsidRDefault="00AA3950" w:rsidP="00AA3950">
            <w:pPr>
              <w:spacing w:before="100" w:after="100"/>
              <w:ind w:left="72"/>
            </w:pPr>
            <w:r w:rsidRPr="007848E1">
              <w:t>Phạt tiền từ 500.000 đồng đến 1.000.000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k</w:t>
            </w:r>
            <w:r w:rsidRPr="007848E1">
              <w:t>hông thực hiện thủ tục xác nhận về việc đóng bảo hiểm thất nghiệp cho người lao động để người lao động hoàn thiện hồ sơ hưởng bảo hiểm thất nghiệp theo quy định</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k</w:t>
            </w:r>
            <w:r w:rsidRPr="007848E1">
              <w:t>hông cung cấp hoặc cung cấp không đầy đủ thông tin về đóng bảo hiểm xã hội bắt buộc, bảo hiểm thất nghiệp của người lao động khi người lao động hoặc tổ chức công đoàn yêu cầu</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7848E1">
              <w:t>gười sử dụng lao động có hành vi không cung cấp chính xác, đầy đủ, kịp thời thông tin, tài liệu liên quan đến việc đóng, hưởng bảo hiểm xã hội bắt buộc, bảo hiểm thất nghiệp theo yêu cầu của cơ quan nhà nước có thẩm quyền, cơ quan bảo hiểm xã hội</w:t>
            </w:r>
          </w:p>
        </w:tc>
        <w:tc>
          <w:tcPr>
            <w:tcW w:w="1975" w:type="dxa"/>
            <w:vAlign w:val="center"/>
          </w:tcPr>
          <w:p w:rsidR="00AA3950" w:rsidRDefault="00AA3950" w:rsidP="00AA3950">
            <w:pPr>
              <w:spacing w:before="100" w:after="100"/>
              <w:ind w:left="72"/>
            </w:pPr>
            <w:r w:rsidRPr="007848E1">
              <w:t>Phạt tiền từ 5.000.000 đồng đến 10.000.000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 xml:space="preserve"> c</w:t>
            </w:r>
            <w:r w:rsidRPr="007848E1">
              <w:t>hậm đóng bảo hiểm xã hội bắt buộc, bảo hiểm thất nghiệp</w:t>
            </w:r>
          </w:p>
        </w:tc>
        <w:tc>
          <w:tcPr>
            <w:tcW w:w="1975" w:type="dxa"/>
            <w:vMerge w:val="restart"/>
            <w:vAlign w:val="center"/>
          </w:tcPr>
          <w:p w:rsidR="00AA3950" w:rsidRDefault="00AA3950" w:rsidP="00AA3950">
            <w:pPr>
              <w:spacing w:before="100" w:after="100"/>
              <w:ind w:left="72"/>
            </w:pPr>
            <w:r w:rsidRPr="007848E1">
              <w:t>Phạt tiền từ 12% đến 15% tổng số tiền phải đóng bảo hiểm xã hội bắt buộc, bảo hiểm thất nghiệp tại thời điểm lập biên bản vi phạm hành chính nhưng tối đa không quá 75.000.000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đ</w:t>
            </w:r>
            <w:r w:rsidRPr="007848E1">
              <w:t>óng bảo hiểm xã hội, bảo hiểm thất nghiệp không đúng mức quy định mà không phải là trốn đóng</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8D75B3">
              <w:t xml:space="preserve">gười sử dụng lao động </w:t>
            </w:r>
            <w:r>
              <w:t>đ</w:t>
            </w:r>
            <w:r w:rsidRPr="007848E1">
              <w:t>óng bảo hiểm xã hội, bảo hiểm thất nghiệp không đủ số người thuộc diện tham gia bảo hiểm xã hội bắt buộc, bảo hiểm thất nghiệp mà không phải là trốn đóng</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7848E1">
              <w:t>gười sử dụng lao động không đóng bảo hiểm xã hội bắt buộc, bảo hiểm thất nghiệp cho toàn bộ người lao động thuộc diện tham gia bảo hiểm xã hội bắt buộc, bảo hiểm thất nghiệp mà chưa đến mức truy cứu trách nhiệm hình sự</w:t>
            </w:r>
          </w:p>
        </w:tc>
        <w:tc>
          <w:tcPr>
            <w:tcW w:w="1975" w:type="dxa"/>
            <w:vAlign w:val="center"/>
          </w:tcPr>
          <w:p w:rsidR="00AA3950" w:rsidRDefault="00AA3950" w:rsidP="00AA3950">
            <w:pPr>
              <w:spacing w:before="100" w:after="100"/>
              <w:ind w:left="72"/>
            </w:pPr>
            <w:r w:rsidRPr="007848E1">
              <w:t xml:space="preserve">Phạt tiền từ 18% đến 20% tổng số tiền phải đóng bảo hiểm xã hội bắt buộc, bảo hiểm </w:t>
            </w:r>
            <w:r w:rsidRPr="007848E1">
              <w:lastRenderedPageBreak/>
              <w:t>thất nghiệp tại thời điểm lập biên bản vi phạm hành chính nhưng tối đa không quá 75.000.000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7848E1">
              <w:t>gười sử dụng lao động có hành vi trốn đóng bảo hiểm xã hội bắt buộc, bảo hiểm thất nghiệp mà chưa đến mức truy cứu trách nhiệm hình sự</w:t>
            </w:r>
          </w:p>
        </w:tc>
        <w:tc>
          <w:tcPr>
            <w:tcW w:w="1975" w:type="dxa"/>
            <w:vAlign w:val="center"/>
          </w:tcPr>
          <w:p w:rsidR="00AA3950" w:rsidRDefault="00AA3950" w:rsidP="00AA3950">
            <w:pPr>
              <w:spacing w:before="100" w:after="100"/>
              <w:ind w:left="72"/>
            </w:pPr>
            <w:r w:rsidRPr="007848E1">
              <w:t>Phạt tiền từ 50.000.000 đồng đến 75.000.000 đồng</w:t>
            </w:r>
          </w:p>
        </w:tc>
      </w:tr>
      <w:tr w:rsidR="00AA3950" w:rsidTr="00AA3950">
        <w:tc>
          <w:tcPr>
            <w:tcW w:w="625" w:type="dxa"/>
            <w:vMerge w:val="restart"/>
            <w:vAlign w:val="center"/>
          </w:tcPr>
          <w:p w:rsidR="00AA3950" w:rsidRDefault="00AA3950" w:rsidP="00AA3950">
            <w:pPr>
              <w:spacing w:before="100" w:after="100"/>
              <w:jc w:val="center"/>
            </w:pPr>
            <w:r>
              <w:t>2</w:t>
            </w:r>
          </w:p>
        </w:tc>
        <w:tc>
          <w:tcPr>
            <w:tcW w:w="1440" w:type="dxa"/>
            <w:vMerge w:val="restart"/>
            <w:vAlign w:val="center"/>
          </w:tcPr>
          <w:p w:rsidR="00AA3950" w:rsidRDefault="00AA3950" w:rsidP="00AA3950">
            <w:pPr>
              <w:spacing w:before="100" w:after="100"/>
              <w:ind w:left="72"/>
            </w:pPr>
            <w:r w:rsidRPr="007848E1">
              <w:t>Vi phạm quy định về lập hồ sơ để hưởng chế độ bảo hiểm xã hội, bảo hiểm thất nghiệp</w:t>
            </w:r>
          </w:p>
        </w:tc>
        <w:tc>
          <w:tcPr>
            <w:tcW w:w="5310" w:type="dxa"/>
            <w:vAlign w:val="center"/>
          </w:tcPr>
          <w:p w:rsidR="00AA3950" w:rsidRDefault="00AA3950" w:rsidP="00AA3950">
            <w:pPr>
              <w:spacing w:before="100" w:after="100"/>
              <w:ind w:left="72"/>
            </w:pPr>
            <w:r>
              <w:t>N</w:t>
            </w:r>
            <w:r w:rsidRPr="00667B7C">
              <w:t>gười lao động</w:t>
            </w:r>
            <w:r>
              <w:t xml:space="preserve"> kê khai </w:t>
            </w:r>
            <w:r w:rsidRPr="00667B7C">
              <w:t>không đúng sự thật hoặc sửa chữa, tẩy xóa làm sai sự thật những nội dung có liên quan đến việc hưởng bảo hiểm xã hội, bảo hiểm thất nghiệp mà chưa đến mức truy cứu trách nhiệm hình sự</w:t>
            </w:r>
          </w:p>
        </w:tc>
        <w:tc>
          <w:tcPr>
            <w:tcW w:w="1975" w:type="dxa"/>
            <w:vMerge w:val="restart"/>
            <w:vAlign w:val="center"/>
          </w:tcPr>
          <w:p w:rsidR="00AA3950" w:rsidRDefault="00AA3950" w:rsidP="00AA3950">
            <w:pPr>
              <w:spacing w:before="100" w:after="100"/>
              <w:ind w:left="72"/>
            </w:pPr>
            <w:r w:rsidRPr="00667B7C">
              <w:t>Phạt tiền từ 1.000.000 đồng đến 2.000.000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667B7C">
              <w:t>gười lao động</w:t>
            </w:r>
            <w:r>
              <w:t xml:space="preserve"> không </w:t>
            </w:r>
            <w:r w:rsidRPr="00667B7C">
              <w:t>thông báo với Trung tâm dịch vụ việc làm theo quy định khi người lao động có việc làm trong thời hạn 15 ngày làm việc, kể từ ngày nộp hồ sơ đề nghị hưởng trợ cấp thất nghiệp</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667B7C">
              <w:t>gười lao động</w:t>
            </w:r>
            <w:r>
              <w:t xml:space="preserve"> </w:t>
            </w:r>
            <w:r w:rsidRPr="00667B7C">
              <w:t>đang hưởng trợ cấp thất nghiệp không thông báo theo quy định với Trung tâm dịch vụ việc làm khi thuộc một trong các trường hợp sau đây: có việc làm; thực hiện nghĩa vụ quân sự, nghĩa vụ công an; hưởng lương hưu hằng tháng; đi học tập có thời hạn từ đủ 12 tháng trở lên</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ind w:left="72"/>
            </w:pPr>
          </w:p>
        </w:tc>
        <w:tc>
          <w:tcPr>
            <w:tcW w:w="5310" w:type="dxa"/>
            <w:vAlign w:val="center"/>
          </w:tcPr>
          <w:p w:rsidR="00AA3950" w:rsidRDefault="00AA3950" w:rsidP="00AA3950">
            <w:pPr>
              <w:spacing w:before="100" w:after="100"/>
              <w:ind w:left="72"/>
            </w:pPr>
            <w:r>
              <w:t>N</w:t>
            </w:r>
            <w:r w:rsidRPr="00667B7C">
              <w:t>gười sử dụng lao động có hành vi làm giả, làm sai lệch nội dung hồ sơ bảo hiểm xã hội, bảo hiểm thất nghiệp để trục lợi chế độ bảo hiểm xã hội, bảo hiểm thất nghiệp mà chưa đến mức truy cứu trách nhiệm hình sự</w:t>
            </w:r>
          </w:p>
        </w:tc>
        <w:tc>
          <w:tcPr>
            <w:tcW w:w="1975" w:type="dxa"/>
            <w:vAlign w:val="center"/>
          </w:tcPr>
          <w:p w:rsidR="00AA3950" w:rsidRDefault="00AA3950" w:rsidP="00AA3950">
            <w:pPr>
              <w:spacing w:before="100" w:after="100"/>
              <w:ind w:left="72"/>
            </w:pPr>
            <w:r w:rsidRPr="00667B7C">
              <w:t>Phạt tiền từ 5.000.000 đồng đến 10.000.000 đồng</w:t>
            </w:r>
            <w:r>
              <w:t xml:space="preserve"> </w:t>
            </w:r>
            <w:r w:rsidRPr="00667B7C">
              <w:t>đối với mỗi hồ sơ hưởng bảo hiểm xã hội, bảo hiểm thất nghiệp làm giả, làm sai lệch nội dung</w:t>
            </w:r>
          </w:p>
        </w:tc>
      </w:tr>
      <w:tr w:rsidR="00AA3950" w:rsidTr="00AA3950">
        <w:tc>
          <w:tcPr>
            <w:tcW w:w="625" w:type="dxa"/>
            <w:vMerge w:val="restart"/>
            <w:vAlign w:val="center"/>
          </w:tcPr>
          <w:p w:rsidR="00AA3950" w:rsidRDefault="00AA3950" w:rsidP="00AA3950">
            <w:pPr>
              <w:spacing w:before="100" w:after="100"/>
              <w:jc w:val="center"/>
            </w:pPr>
            <w:r>
              <w:t>3</w:t>
            </w:r>
          </w:p>
        </w:tc>
        <w:tc>
          <w:tcPr>
            <w:tcW w:w="1440" w:type="dxa"/>
            <w:vMerge w:val="restart"/>
            <w:vAlign w:val="center"/>
          </w:tcPr>
          <w:p w:rsidR="00AA3950" w:rsidRDefault="00AA3950" w:rsidP="00AA3950">
            <w:pPr>
              <w:spacing w:before="100" w:after="100"/>
              <w:ind w:left="72"/>
            </w:pPr>
            <w:r w:rsidRPr="00667B7C">
              <w:t>Vi phạm các quy định khác về bảo hiểm xã hội, bảo hiểm thất nghiệp</w:t>
            </w:r>
          </w:p>
        </w:tc>
        <w:tc>
          <w:tcPr>
            <w:tcW w:w="5310" w:type="dxa"/>
            <w:vAlign w:val="center"/>
          </w:tcPr>
          <w:p w:rsidR="00AA3950" w:rsidRDefault="00AA3950" w:rsidP="00AA3950">
            <w:pPr>
              <w:spacing w:before="100" w:after="100"/>
              <w:ind w:left="72"/>
            </w:pPr>
            <w:r>
              <w:t>N</w:t>
            </w:r>
            <w:r w:rsidRPr="00667B7C">
              <w:t>gười sử dụng lao động có hành vi không trả chế độ bảo hiểm tai nạn lao động, bệnh nghề nghiệp trong thời hạn 10 ngày, kể từ ngày nhận được tiền do cơ quan bảo hiểm xã hội chuyển đến</w:t>
            </w:r>
          </w:p>
        </w:tc>
        <w:tc>
          <w:tcPr>
            <w:tcW w:w="1975" w:type="dxa"/>
            <w:vAlign w:val="center"/>
          </w:tcPr>
          <w:p w:rsidR="00AA3950" w:rsidRDefault="00AA3950" w:rsidP="00AA3950">
            <w:pPr>
              <w:spacing w:before="100" w:after="100"/>
              <w:ind w:left="72"/>
            </w:pPr>
            <w:r w:rsidRPr="00667B7C">
              <w:t>Phạt tiền từ 1.000.000 đồng đến 2.000.000 đồng khi vi phạm với mỗi người lao động nhưng tối đa không quá 75.000.000 đồn</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667B7C">
              <w:t>gười sử dụng lao động có hành vi chiếm dụng tiền hưởng bảo hiểm xã hội bắt buộc của người lao động</w:t>
            </w:r>
          </w:p>
        </w:tc>
        <w:tc>
          <w:tcPr>
            <w:tcW w:w="1975" w:type="dxa"/>
            <w:vAlign w:val="center"/>
          </w:tcPr>
          <w:p w:rsidR="00AA3950" w:rsidRDefault="00AA3950" w:rsidP="00AA3950">
            <w:pPr>
              <w:spacing w:before="100" w:after="100"/>
              <w:ind w:left="72"/>
            </w:pPr>
            <w:r w:rsidRPr="00667B7C">
              <w:t>Phạt tiền với mức từ 18% đến 20% tổng số tiền hưởng bảo hiểm xã hội bắt buộc của người lao động mà người sử dụng lao động đã chiếm dụng tại thời điểm lập biên bản vi phạm hành chính nhưng tối đa không quá 75.000.000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667B7C">
              <w:t>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tc>
        <w:tc>
          <w:tcPr>
            <w:tcW w:w="1975" w:type="dxa"/>
            <w:vAlign w:val="center"/>
          </w:tcPr>
          <w:p w:rsidR="00AA3950" w:rsidRDefault="00AA3950" w:rsidP="00AA3950">
            <w:pPr>
              <w:spacing w:before="100" w:after="100"/>
              <w:ind w:left="72"/>
            </w:pPr>
            <w:r w:rsidRPr="00667B7C">
              <w:t>Phạt tiền từ 2.000.000 đồng đến 4.000.000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8D75B3">
              <w:t>gười sử dụng lao động</w:t>
            </w:r>
            <w:r>
              <w:t xml:space="preserve"> không </w:t>
            </w:r>
            <w:r w:rsidRPr="008D75B3">
              <w:t>lập hồ sơ tham gia bảo hiểm xã hội bắt buộc, bảo hiểm thất nghiệp cho người lao động trong thời hạn 30 ngày, kể từ ngày giao kết hợp đồng lao động, hợp đồng làm việc hoặc tuyển dụng</w:t>
            </w:r>
          </w:p>
        </w:tc>
        <w:tc>
          <w:tcPr>
            <w:tcW w:w="1975" w:type="dxa"/>
            <w:vMerge w:val="restart"/>
            <w:vAlign w:val="center"/>
          </w:tcPr>
          <w:p w:rsidR="00AA3950" w:rsidRDefault="00AA3950" w:rsidP="00AA3950">
            <w:pPr>
              <w:spacing w:before="100" w:after="100"/>
              <w:ind w:left="72"/>
            </w:pPr>
            <w:r w:rsidRPr="008D75B3">
              <w:t>Phạt tiền từ 2.000.000 đồng đến 4.000.000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8D75B3">
              <w:t>gười sử dụng lao động</w:t>
            </w:r>
            <w:r>
              <w:t xml:space="preserve"> không </w:t>
            </w:r>
            <w:r w:rsidRPr="008D75B3">
              <w:t>lập hồ sơ hoặc văn bản đề nghị đúng thời hạn quy định tại khoản 2 Điều 102, khoản 1 Điều 103, khoản 1 Điều 110, khoản 2 Điều 112 Luật Bảo hiểm xã hội</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8D75B3">
              <w:t>gười sử dụng lao động</w:t>
            </w:r>
            <w:r>
              <w:t xml:space="preserve"> không </w:t>
            </w:r>
            <w:r w:rsidRPr="008D75B3">
              <w:t>giới thiệu người lao động thuộc đối tượng quy định tại Điều 47 của Luật An toàn, vệ sinh lao động và Điều 55 của Luật Bảo hiểm xã hội đi khám giám định suy giảm khả năng lao động tại Hội đồng Giám định y khoa</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8D75B3">
              <w:t>gười sử dụng lao động</w:t>
            </w:r>
            <w:r>
              <w:t xml:space="preserve"> không </w:t>
            </w:r>
            <w:r w:rsidRPr="008D75B3">
              <w:t>trả sổ bảo hiểm xã hội cho người lao động theo quy định tại khoản 5 Điều 21 Luật Bảo hiểm xã hội</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C</w:t>
            </w:r>
            <w:r w:rsidRPr="008D75B3">
              <w:t>ơ sở giáo dục nghề nghiệp</w:t>
            </w:r>
            <w:r>
              <w:t xml:space="preserve"> tổ </w:t>
            </w:r>
            <w:r w:rsidRPr="008D75B3">
              <w:t>chức dạy nghề không đủ thời gian khóa học mà người lao động tham gia bảo hiểm thất nghiệp đăng ký đối với mỗi người lao động vi phạm nhưng tối đa không quá 150.000.000 đồng</w:t>
            </w:r>
          </w:p>
        </w:tc>
        <w:tc>
          <w:tcPr>
            <w:tcW w:w="1975" w:type="dxa"/>
            <w:vMerge w:val="restart"/>
            <w:vAlign w:val="center"/>
          </w:tcPr>
          <w:p w:rsidR="00AA3950" w:rsidRDefault="00AA3950" w:rsidP="00AA3950">
            <w:pPr>
              <w:spacing w:before="100" w:after="100"/>
              <w:ind w:left="72"/>
            </w:pPr>
            <w:r w:rsidRPr="008D75B3">
              <w:t>Phạt tiền từ 2.000.000 đồng đến 4.000.000 đồng</w:t>
            </w: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C</w:t>
            </w:r>
            <w:r w:rsidRPr="008D75B3">
              <w:t>ơ sở giáo dục nghề nghiệp</w:t>
            </w:r>
            <w:r>
              <w:t xml:space="preserve"> thỏa </w:t>
            </w:r>
            <w:r w:rsidRPr="008D75B3">
              <w:t xml:space="preserve">thuận với cá nhân, tổ chức có liên quan để trục lợi số tiền hỗ trợ học nghề đối </w:t>
            </w:r>
            <w:r w:rsidRPr="008D75B3">
              <w:lastRenderedPageBreak/>
              <w:t>với mỗi trường hợp vi phạm mà chưa đến mức truy cứu trách nhiệm hình sự</w:t>
            </w:r>
          </w:p>
        </w:tc>
        <w:tc>
          <w:tcPr>
            <w:tcW w:w="1975" w:type="dxa"/>
            <w:vMerge/>
            <w:vAlign w:val="center"/>
          </w:tcPr>
          <w:p w:rsidR="00AA3950" w:rsidRDefault="00AA3950" w:rsidP="00AA3950">
            <w:pPr>
              <w:spacing w:before="100" w:after="100"/>
              <w:ind w:left="72"/>
            </w:pPr>
          </w:p>
        </w:tc>
      </w:tr>
      <w:tr w:rsidR="00AA3950" w:rsidTr="00AA3950">
        <w:tc>
          <w:tcPr>
            <w:tcW w:w="625" w:type="dxa"/>
            <w:vMerge/>
            <w:vAlign w:val="center"/>
          </w:tcPr>
          <w:p w:rsidR="00AA3950" w:rsidRDefault="00AA3950" w:rsidP="00AA3950">
            <w:pPr>
              <w:spacing w:before="100" w:after="100"/>
              <w:jc w:val="center"/>
            </w:pPr>
          </w:p>
        </w:tc>
        <w:tc>
          <w:tcPr>
            <w:tcW w:w="1440" w:type="dxa"/>
            <w:vMerge/>
            <w:vAlign w:val="center"/>
          </w:tcPr>
          <w:p w:rsidR="00AA3950" w:rsidRDefault="00AA3950" w:rsidP="00AA3950">
            <w:pPr>
              <w:spacing w:before="100" w:after="100"/>
            </w:pPr>
          </w:p>
        </w:tc>
        <w:tc>
          <w:tcPr>
            <w:tcW w:w="5310" w:type="dxa"/>
            <w:vAlign w:val="center"/>
          </w:tcPr>
          <w:p w:rsidR="00AA3950" w:rsidRDefault="00AA3950" w:rsidP="00AA3950">
            <w:pPr>
              <w:spacing w:before="100" w:after="100"/>
              <w:ind w:left="72"/>
            </w:pPr>
            <w:r>
              <w:t>N</w:t>
            </w:r>
            <w:r w:rsidRPr="008D75B3">
              <w:t>gười sử dụng lao động khi được hỗ trợ kinh phí đào tạo, bồi dưỡng, nâng cao trình độ kỹ năng nghề để duy trì việc làm cho người lao động mà có hành vi tổ chức triển khai đào tạo, bồi dưỡng, nâng cao trình độ kỹ năng nghề cho người lao động không theo đúng phương án được cơ quan có thẩm quyền phê duyệt</w:t>
            </w:r>
          </w:p>
        </w:tc>
        <w:tc>
          <w:tcPr>
            <w:tcW w:w="1975" w:type="dxa"/>
            <w:vAlign w:val="center"/>
          </w:tcPr>
          <w:p w:rsidR="00AA3950" w:rsidRDefault="00AA3950" w:rsidP="00AA3950">
            <w:pPr>
              <w:spacing w:before="100" w:after="100"/>
              <w:ind w:left="72"/>
            </w:pPr>
            <w:r w:rsidRPr="008D75B3">
              <w:t>Phạt tiền từ 10.000.000 đồng đến 20.000.000 đồng</w:t>
            </w:r>
          </w:p>
        </w:tc>
      </w:tr>
    </w:tbl>
    <w:p w:rsidR="00965F46" w:rsidRDefault="00965F46"/>
    <w:sectPr w:rsidR="00965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46"/>
    <w:rsid w:val="00335558"/>
    <w:rsid w:val="0043526B"/>
    <w:rsid w:val="00501518"/>
    <w:rsid w:val="00667B7C"/>
    <w:rsid w:val="007848E1"/>
    <w:rsid w:val="008D75B3"/>
    <w:rsid w:val="009247B1"/>
    <w:rsid w:val="00965F46"/>
    <w:rsid w:val="00A1352B"/>
    <w:rsid w:val="00AA3950"/>
    <w:rsid w:val="00BB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9EEF6-5DFE-4EBF-BA64-588CB7CE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2020-04-27T04:28:00Z</dcterms:created>
  <dcterms:modified xsi:type="dcterms:W3CDTF">2020-04-27T04:28:00Z</dcterms:modified>
</cp:coreProperties>
</file>