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733"/>
        <w:gridCol w:w="5661"/>
      </w:tblGrid>
      <w:tr>
        <w:trPr>
          <w:trHeight w:val="1080" w:hRule="auto"/>
          <w:jc w:val="left"/>
        </w:trPr>
        <w:tc>
          <w:tcPr>
            <w:tcW w:w="47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1620" w:leader="none"/>
                <w:tab w:val="center" w:pos="6816" w:leader="none"/>
                <w:tab w:val="right" w:pos="864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ỆN KIỂM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ÁT NHÂN DÂN</w:t>
            </w:r>
          </w:p>
          <w:p>
            <w:pPr>
              <w:tabs>
                <w:tab w:val="center" w:pos="1620" w:leader="none"/>
                <w:tab w:val="center" w:pos="6816" w:leader="none"/>
                <w:tab w:val="right" w:pos="864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ỈNH/TH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ÀNH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Ố …………</w:t>
            </w:r>
          </w:p>
          <w:p>
            <w:pPr>
              <w:tabs>
                <w:tab w:val="center" w:pos="1620" w:leader="none"/>
                <w:tab w:val="center" w:pos="6816" w:leader="none"/>
                <w:tab w:val="right" w:pos="864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PHÒNG 8</w:t>
            </w:r>
          </w:p>
          <w:p>
            <w:pPr>
              <w:tabs>
                <w:tab w:val="center" w:pos="1620" w:leader="none"/>
                <w:tab w:val="center" w:pos="6816" w:leader="none"/>
                <w:tab w:val="right" w:pos="86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¯¯¯¯¯¯</w:t>
            </w:r>
          </w:p>
        </w:tc>
        <w:tc>
          <w:tcPr>
            <w:tcW w:w="5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ỘNG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ÒA XÃ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ỘI CHỦ NGH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ĨA VI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ỆT NAM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ộc lập - Tự do - Hạnh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úc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¯¯¯¯¯¯¯¯¯¯¯¯¯¯¯¯¯¯¯¯¯¯¯¯</w:t>
            </w:r>
          </w:p>
        </w:tc>
      </w:tr>
      <w:tr>
        <w:trPr>
          <w:trHeight w:val="477" w:hRule="auto"/>
          <w:jc w:val="left"/>
        </w:trPr>
        <w:tc>
          <w:tcPr>
            <w:tcW w:w="47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ố: … /BC-P8</w:t>
            </w:r>
          </w:p>
        </w:tc>
        <w:tc>
          <w:tcPr>
            <w:tcW w:w="5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……………., ngày … tháng … 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ăm ……..</w:t>
            </w:r>
          </w:p>
        </w:tc>
      </w:tr>
    </w:tbl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BÁO CÁO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ông tác tháng …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ăm 2018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¯¯¯¯¯¯¯¯¯¯¯¯¯¯¯¯¯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TÌNH HÌNH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ÀNH PHÁP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ẬT TRONG TẠM GIỮ, TẠM GIAM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À THI HÀNH ÁN HÌNH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Ự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Nh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ận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ịnh,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ánh giá tình hình thông qua 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ổng hợp 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ác 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ố liệu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pháp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ật trong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ông tác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ạm giữ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( Nêu s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ố liệu v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ánh giá chung v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ề 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ình hình t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8"/>
          <w:shd w:fill="auto" w:val="clear"/>
        </w:rPr>
        <w:t xml:space="preserve">ạm giữ, việc giải quyết tạm giữ)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giữ chết… (do tự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át…;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nhau …;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…; nguyên nhân khác …), ví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ời bị tạm giữ bỏ trốn …(trong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ố ch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ưa b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ắt lại …), v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ụ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ển 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ình.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ời bị tạm giữ qu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á h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ạn… nguy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ên nhân, trách nhi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ệm của từng c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ơ quan v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à k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ết quả  xử 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ý.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giữ vi phạm nội quy, số phạm tội mới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trả tự do theo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d, Khoản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22 Luật tổ chức VKSND;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d, Khoản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42 Luật thi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giữ, tạm giam.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pháp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ật trong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ông tác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ạm giam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(Nêu s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ố liệu v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ánh giá chung v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ề t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ình hình t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8"/>
          <w:shd w:fill="auto" w:val="clear"/>
        </w:rPr>
        <w:t xml:space="preserve">ạm giam, việc giải quyết tạm giam)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giam chết… (do tự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át…;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nhau …;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…; nguyên nhân khác …), ví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ời bị tạm giam trốn …(trong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ố ch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ưa b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ắt lại …), v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ụ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ển h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ình.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giam qu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ạn… nguy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ên nhân; trách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ệm của từng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xử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giam vi phạm nội quy, số phạm tội mới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tạm giam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trả tự do theo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d, Khoản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22 Luật tổ chức VKSND;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d, Khoản 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42 Luật thi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giữ, tạm giam.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ấp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pháp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ật trong thi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án hình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3.1.Thi hành án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ình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ổng số 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ời bị kết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án 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ử 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ình:…(c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ũ …, 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ới …).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+ Xét x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ử ph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úc th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ẩm hủy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án …, xét x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ử ph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úc th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ẩm giảm xuống chung th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ân…; ân gi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ảm xuống chung th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ân …);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+ Ch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ết … (tự 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át …, b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ệnh 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ý …).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kết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đang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giam …,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ó: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mới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ét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ẩm …; số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xét 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úc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ẩm …; số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quy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ịnh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kháng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 của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án TANDTC,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ởng VKSNDTC …; số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kiện thi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…; hoãn thi hành án …;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ời bị kết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ử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ốn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ố 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ời c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òn 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ại: …ng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ời, trong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ó có… ng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ời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ã có quy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ịnh thi 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ành án,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ã thi hành.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3.2.Thi hành án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ạt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ù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(Nêu s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ố liệu cụ thể…)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ố phạm nh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ân ch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ết …(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do tự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át…;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nhau …;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ệnh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…; nguyên nhân khác …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phạm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ốn … (trong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ưa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ắt lại …),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ình.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phạm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vi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nội quy … số phạm tội mới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 phạm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trả tự do theo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C Khoản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25 Luật tổ chức VKSND…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3.3. Các hình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ạt kh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ác (án treo,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ải tạo kh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giam gi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ữ, cấm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ư tr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ú, qu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ản chế, trục xuất…)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3.4. 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ệc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pháp lu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ật trong việc xem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ét, quy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ịnh việc ho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ãn, mi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ành, gi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ảm thời hạn, tạm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ỉ hoặc miễn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ần thời gian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ụng biện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chính còn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ại tại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òa án nhân dân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Vi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ạm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ật trong tạm giữ, tạm giam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 thi hành án hình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4.1.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ật của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ác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quan ti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ến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ố tụng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Vi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của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 đi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ều tra (trong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tạm giữ, tạm giam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thi hành án).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Vi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của Viện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(trong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ệc tạm giữ, tạm giam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thi hành án).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Vi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của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òa án (trong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ĩnh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tạm giữ, tạm giam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thi hành án).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4.2.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ật của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quan qu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ản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ý, thi hành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giữ, tạm giam;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quan thi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án;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ơ quan đư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ợc giao một số nhiệm vụ về thi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án hình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ự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Nêu khái quát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ừng dạng vi phạm cụ thể trong tạm giữ, tạm giam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thi hành án hình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ự; số l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ợng mỗi vi phạm của từng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ơ quan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à VKS phát 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ợc th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ông qua ho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ộng kiểm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át.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4.3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ật trong việc xem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ét quy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ịnh việc ho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ãn, mi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ành, gi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ảm thời hạn, tạm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ỉ hoặc miễn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ần thời gian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ụng biện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chính còn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ại tại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òa án nhân dân.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HO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ẠT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ỘNG KIỂM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ÁT </w:t>
      </w:r>
    </w:p>
    <w:p>
      <w:pPr>
        <w:numPr>
          <w:ilvl w:val="0"/>
          <w:numId w:val="12"/>
        </w:numPr>
        <w:tabs>
          <w:tab w:val="left" w:pos="1080" w:leader="none"/>
        </w:tabs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át 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1.1.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ệc tạm giữ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Nêu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ư: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tiếp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Nhà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ạm giữ;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ệc thực hiện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ững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trong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tác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của VKS khi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(số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ầu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ban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ối với từng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ừng cấp)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1.2.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ệc tạm giam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Nêu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ư: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tiếp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ại tạm giam;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ệc thực hiện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ững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trong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tác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của VKS khi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(số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ầu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ban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ối với từng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ừng cấp)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1.3.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thi hành án hình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ự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Nêu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ư: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ực tiếp kiểm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 thi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án hình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ự; kiểm tra việc thực hiện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ững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trong hoạt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Các 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tác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ộng của VKS khi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ện vi phạm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ật (số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ợng kh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ị, kiến nghị,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êu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ầu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ợc ban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ành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ối với từng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ơ quan,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ừng cấp)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1.4.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trình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ự thủ tục xem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ét, quy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ịnh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ụng biện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chính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ại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òa án nhân dân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1.5.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ệc xem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ét, quy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ịnh việc ho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ãn, mi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ành, gi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ảm thời hạn, tạm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ỉ hoặc miễn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ần thời gian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ụng biện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chính còn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ại tại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òa án nhân dân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1.6. K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ông tác ki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ệc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ét khi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ếu nại, kiến nghị, kh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áng ngh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ối với 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ác quy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ết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ịnh ho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ãn, mi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ành, gi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ảm thời hạn, tạm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ình 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ỉ hoặc miễn chấp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ần thời gian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ụng biện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áp x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ử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ý vi ph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ạm 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ành chính còn l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ại tại 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òa án nhân dân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Công tác ti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ếp nhận, giải quyết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đơn khi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ếu nại, tố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áo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(khi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ếu nại .., tố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áo …,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nghị, phản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…),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ó: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ũ … ,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ụ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ý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ới …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ải quyết: 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(khi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ếu nại .., tố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áo …,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nghị, phản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…), 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ó: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 lời bằng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ăn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ản: 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Chuy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ớng dẫn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đương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ự: 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ưu đơn 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ã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ải quyết: 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đơn;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Đang gi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ải quyết: 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đơn (khi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ếu nại ..., tố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áo…,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ến nghị, phản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ánh …).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CÔNG TÁC KHÁC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Công tác qu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ản 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ý,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ạo,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ều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ành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Công tác tham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ưu,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ổng hợp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 Công tác 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ểm tra, 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ớng dẫn nghiệp vụ, trả lời thỉnh thị v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 ban hành thông báo rút kinh nghi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ệm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êu,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ánh giá tình hình,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ố liệu)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 Công tác xây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ựng ph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áp lu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ật, nghi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ên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ứu khoa học,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ơ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ết, tổng kết, tập huấn nghiệp vụ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(tiến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ộ thực hiện)</w:t>
      </w:r>
    </w:p>
    <w:p>
      <w:pPr>
        <w:spacing w:before="0" w:after="0" w:line="360"/>
        <w:ind w:right="0" w:left="0" w:firstLine="720"/>
        <w:jc w:val="both"/>
        <w:rPr>
          <w:rFonts w:ascii="Times New Roman Bold" w:hAnsi="Times New Roman Bold" w:cs="Times New Roman Bold" w:eastAsia="Times New Roman 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Bold" w:hAnsi="Times New Roman Bold" w:cs="Times New Roman Bold" w:eastAsia="Times New Roman Bold"/>
          <w:b/>
          <w:color w:val="auto"/>
          <w:spacing w:val="0"/>
          <w:position w:val="0"/>
          <w:sz w:val="28"/>
          <w:shd w:fill="auto" w:val="clear"/>
        </w:rPr>
        <w:t xml:space="preserve">5. Công tác ph</w:t>
      </w:r>
      <w:r>
        <w:rPr>
          <w:rFonts w:ascii="Times New Roman Bold" w:hAnsi="Times New Roman Bold" w:cs="Times New Roman Bold" w:eastAsia="Times New Roman Bold"/>
          <w:b/>
          <w:color w:val="auto"/>
          <w:spacing w:val="0"/>
          <w:position w:val="0"/>
          <w:sz w:val="28"/>
          <w:shd w:fill="auto" w:val="clear"/>
        </w:rPr>
        <w:t xml:space="preserve">ối hợp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 NHI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ỆM VỤ 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ÔNG TÁC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ỌNG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ÂM THÁNG ...</w:t>
      </w:r>
    </w:p>
    <w:p>
      <w:pPr>
        <w:tabs>
          <w:tab w:val="left" w:pos="574" w:leader="none"/>
        </w:tabs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Nêu nhi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ệm vụ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ông tác tr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ọng 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âm tháng ti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ếp theo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ể thực hiện kế hoạch, ch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ương tr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ình công tác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ã 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ề ra. 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Trên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ây là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ết quả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tác tháng …và nhi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ệm vụ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ông tác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ọng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âm tháng...c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ủa Ph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òng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ểm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át 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ệc tạm giữ, tạm giam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à thi hành án hình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ự./.</w:t>
      </w:r>
    </w:p>
    <w:p>
      <w:pPr>
        <w:spacing w:before="0" w:after="0" w:line="3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/>
      <w:tblGrid>
        <w:gridCol w:w="5302"/>
        <w:gridCol w:w="4282"/>
      </w:tblGrid>
      <w:tr>
        <w:trPr>
          <w:trHeight w:val="1" w:hRule="atLeast"/>
          <w:jc w:val="left"/>
        </w:trPr>
        <w:tc>
          <w:tcPr>
            <w:tcW w:w="53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N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ơi nh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ận: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ụ 8 VKSNDTC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ể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áo cáo);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Lãnh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ạo Viện phụ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ách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ể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áo cáo);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ăn ph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òng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ổng hợp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ể tổng hợp);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ưu: VT (... 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ản). </w:t>
            </w:r>
          </w:p>
        </w:tc>
        <w:tc>
          <w:tcPr>
            <w:tcW w:w="42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ỞNG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ÒNG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